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2761D3">
      <w:pPr>
        <w:spacing w:after="0" w:line="240" w:lineRule="auto"/>
        <w:rPr>
          <w:rFonts w:ascii="Arial Nova" w:hAnsi="Arial Nova"/>
          <w:sz w:val="28"/>
          <w:szCs w:val="28"/>
          <w:lang w:val="en-GB"/>
        </w:rPr>
      </w:pPr>
      <w:bookmarkStart w:id="0" w:name="_GoBack"/>
      <w:bookmarkEnd w:id="0"/>
      <w:r>
        <w:rPr>
          <w:lang w:val="en-ZA" w:eastAsia="en-ZA"/>
        </w:rPr>
        <mc:AlternateContent>
          <mc:Choice Requires="wps">
            <w:drawing>
              <wp:anchor distT="0" distB="0" distL="118745" distR="118745" simplePos="0" relativeHeight="251661312" behindDoc="1" locked="0" layoutInCell="1" allowOverlap="0">
                <wp:simplePos x="0" y="0"/>
                <wp:positionH relativeFrom="margin">
                  <wp:posOffset>-19685</wp:posOffset>
                </wp:positionH>
                <wp:positionV relativeFrom="page">
                  <wp:posOffset>535940</wp:posOffset>
                </wp:positionV>
                <wp:extent cx="5949950" cy="269875"/>
                <wp:effectExtent l="0" t="0" r="6350" b="4445"/>
                <wp:wrapSquare wrapText="bothSides"/>
                <wp:docPr id="1794880148" name="Rectangle 1794880148"/>
                <wp:cNvGraphicFramePr/>
                <a:graphic xmlns:a="http://schemas.openxmlformats.org/drawingml/2006/main">
                  <a:graphicData uri="http://schemas.microsoft.com/office/word/2010/wordprocessingShape">
                    <wps:wsp>
                      <wps:cNvSpPr/>
                      <wps:spPr>
                        <a:xfrm>
                          <a:off x="0" y="0"/>
                          <a:ext cx="5949950" cy="26987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E8E15A">
                            <w:pPr>
                              <w:pStyle w:val="9"/>
                              <w:jc w:val="center"/>
                              <w:rPr>
                                <w:b/>
                                <w:bCs/>
                                <w:caps/>
                                <w:color w:val="000000" w:themeColor="text1"/>
                                <w:sz w:val="28"/>
                                <w:szCs w:val="28"/>
                              </w:rPr>
                            </w:pPr>
                            <w:r>
                              <w:rPr>
                                <w:rFonts w:ascii="Arial Nova" w:hAnsi="Arial Nova" w:cs="Arial"/>
                                <w:b/>
                                <w:bCs/>
                                <w:color w:val="000000" w:themeColor="text1"/>
                                <w:sz w:val="28"/>
                                <w:szCs w:val="28"/>
                              </w:rPr>
                              <w:t xml:space="preserve">AFRICAN MARKET OBSERVATORY </w:t>
                            </w:r>
                            <w:r>
                              <w:rPr>
                                <w:b/>
                                <w:bCs/>
                                <w:caps/>
                                <w:color w:val="000000" w:themeColor="text1"/>
                                <w:sz w:val="28"/>
                                <w:szCs w:val="28"/>
                              </w:rPr>
                              <w:t>(</w:t>
                            </w:r>
                            <w:r>
                              <w:rPr>
                                <w:rFonts w:ascii="Arial Nova" w:hAnsi="Arial Nova" w:cs="Arial"/>
                                <w:b/>
                                <w:bCs/>
                                <w:color w:val="000000" w:themeColor="text1"/>
                                <w:sz w:val="28"/>
                                <w:szCs w:val="28"/>
                              </w:rPr>
                              <w:t>AMO</w:t>
                            </w:r>
                            <w:r>
                              <w:rPr>
                                <w:b/>
                                <w:bCs/>
                                <w:caps/>
                                <w:color w:val="000000" w:themeColor="text1"/>
                                <w:sz w:val="28"/>
                                <w:szCs w:val="28"/>
                              </w:rPr>
                              <w:t>):</w:t>
                            </w:r>
                            <w:r>
                              <w:rPr>
                                <w:b/>
                                <w:bCs/>
                                <w:color w:val="000000" w:themeColor="text1"/>
                                <w:sz w:val="28"/>
                                <w:szCs w:val="28"/>
                              </w:rPr>
                              <w:t xml:space="preserve"> </w:t>
                            </w:r>
                            <w:r>
                              <w:rPr>
                                <w:rFonts w:ascii="Arial Nova" w:hAnsi="Arial Nova" w:cs="Arial"/>
                                <w:b/>
                                <w:bCs/>
                                <w:color w:val="000000" w:themeColor="text1"/>
                                <w:sz w:val="28"/>
                                <w:szCs w:val="28"/>
                              </w:rPr>
                              <w:t>PRICE</w:t>
                            </w:r>
                            <w:r>
                              <w:rPr>
                                <w:b/>
                                <w:bCs/>
                                <w:color w:val="000000" w:themeColor="text1"/>
                                <w:sz w:val="28"/>
                                <w:szCs w:val="28"/>
                              </w:rPr>
                              <w:t xml:space="preserve"> </w:t>
                            </w:r>
                            <w:r>
                              <w:rPr>
                                <w:rFonts w:ascii="Arial Nova" w:hAnsi="Arial Nova" w:cs="Arial"/>
                                <w:b/>
                                <w:bCs/>
                                <w:color w:val="000000" w:themeColor="text1"/>
                                <w:sz w:val="28"/>
                                <w:szCs w:val="28"/>
                              </w:rPr>
                              <w:t>TRACKER</w:t>
                            </w:r>
                          </w:p>
                        </w:txbxContent>
                      </wps:txbx>
                      <wps:bodyPr rot="0" spcFirstLastPara="0" vertOverflow="overflow" horzOverflow="overflow" vert="horz" wrap="square" lIns="91440" tIns="45720" rIns="91440" bIns="45720" numCol="1" spcCol="0" rtlCol="0" fromWordArt="0" anchor="ctr" anchorCtr="0" forceAA="0" compatLnSpc="1">
                        <a:spAutoFit/>
                      </wps:bodyPr>
                    </wps:wsp>
                  </a:graphicData>
                </a:graphic>
                <wp14:sizeRelH relativeFrom="page">
                  <wp14:pctWidth>0</wp14:pctWidth>
                </wp14:sizeRelH>
                <wp14:sizeRelV relativeFrom="page">
                  <wp14:pctHeight>2700</wp14:pctHeight>
                </wp14:sizeRelV>
              </wp:anchor>
            </w:drawing>
          </mc:Choice>
          <mc:Fallback>
            <w:pict>
              <v:rect id="_x0000_s1026" o:spid="_x0000_s1026" o:spt="1" style="position:absolute;left:0pt;margin-left:-1.55pt;margin-top:42.2pt;height:21.25pt;width:468.5pt;mso-position-horizontal-relative:margin;mso-position-vertical-relative:page;mso-wrap-distance-bottom:0pt;mso-wrap-distance-left:9.35pt;mso-wrap-distance-right:9.35pt;mso-wrap-distance-top:0pt;z-index:-251655168;v-text-anchor:middle;mso-width-relative:page;mso-height-relative:page;mso-height-percent:27;" fillcolor="#E97132 [3205]" filled="t" stroked="f" coordsize="21600,21600" o:allowoverlap="f" o:gfxdata="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EDqjXAAAACQEAAA8AAAAAAAAAAQAgAAAAIgAAAGRycy9kb3du&#10;cmV2LnhtbFBLAQIUABQAAAAIAIdO4kCPE7Q8cgIAAOsEAAAOAAAAAAAAAAEAIAAAACYBAABkcnMv&#10;ZTJvRG9jLnhtbFBLBQYAAAAABgAGAFkBAAAKBgAAAAA=&#10;">
                <v:fill on="t" focussize="0,0"/>
                <v:stroke on="f" weight="1.5pt" miterlimit="8" joinstyle="miter"/>
                <v:imagedata o:title=""/>
                <o:lock v:ext="edit" aspectratio="f"/>
                <v:textbox style="mso-fit-shape-to-text:t;">
                  <w:txbxContent>
                    <w:p w14:paraId="46E8E15A">
                      <w:pPr>
                        <w:pStyle w:val="9"/>
                        <w:jc w:val="center"/>
                        <w:rPr>
                          <w:b/>
                          <w:bCs/>
                          <w:caps/>
                          <w:color w:val="000000" w:themeColor="text1"/>
                          <w:sz w:val="28"/>
                          <w:szCs w:val="28"/>
                        </w:rPr>
                      </w:pPr>
                      <w:r>
                        <w:rPr>
                          <w:rFonts w:ascii="Arial Nova" w:hAnsi="Arial Nova" w:cs="Arial"/>
                          <w:b/>
                          <w:bCs/>
                          <w:color w:val="000000" w:themeColor="text1"/>
                          <w:sz w:val="28"/>
                          <w:szCs w:val="28"/>
                        </w:rPr>
                        <w:t xml:space="preserve">AFRICAN MARKET OBSERVATORY </w:t>
                      </w:r>
                      <w:r>
                        <w:rPr>
                          <w:b/>
                          <w:bCs/>
                          <w:caps/>
                          <w:color w:val="000000" w:themeColor="text1"/>
                          <w:sz w:val="28"/>
                          <w:szCs w:val="28"/>
                        </w:rPr>
                        <w:t>(</w:t>
                      </w:r>
                      <w:r>
                        <w:rPr>
                          <w:rFonts w:ascii="Arial Nova" w:hAnsi="Arial Nova" w:cs="Arial"/>
                          <w:b/>
                          <w:bCs/>
                          <w:color w:val="000000" w:themeColor="text1"/>
                          <w:sz w:val="28"/>
                          <w:szCs w:val="28"/>
                        </w:rPr>
                        <w:t>AMO</w:t>
                      </w:r>
                      <w:r>
                        <w:rPr>
                          <w:b/>
                          <w:bCs/>
                          <w:caps/>
                          <w:color w:val="000000" w:themeColor="text1"/>
                          <w:sz w:val="28"/>
                          <w:szCs w:val="28"/>
                        </w:rPr>
                        <w:t>):</w:t>
                      </w:r>
                      <w:r>
                        <w:rPr>
                          <w:b/>
                          <w:bCs/>
                          <w:color w:val="000000" w:themeColor="text1"/>
                          <w:sz w:val="28"/>
                          <w:szCs w:val="28"/>
                        </w:rPr>
                        <w:t xml:space="preserve"> </w:t>
                      </w:r>
                      <w:r>
                        <w:rPr>
                          <w:rFonts w:ascii="Arial Nova" w:hAnsi="Arial Nova" w:cs="Arial"/>
                          <w:b/>
                          <w:bCs/>
                          <w:color w:val="000000" w:themeColor="text1"/>
                          <w:sz w:val="28"/>
                          <w:szCs w:val="28"/>
                        </w:rPr>
                        <w:t>PRICE</w:t>
                      </w:r>
                      <w:r>
                        <w:rPr>
                          <w:b/>
                          <w:bCs/>
                          <w:color w:val="000000" w:themeColor="text1"/>
                          <w:sz w:val="28"/>
                          <w:szCs w:val="28"/>
                        </w:rPr>
                        <w:t xml:space="preserve"> </w:t>
                      </w:r>
                      <w:r>
                        <w:rPr>
                          <w:rFonts w:ascii="Arial Nova" w:hAnsi="Arial Nova" w:cs="Arial"/>
                          <w:b/>
                          <w:bCs/>
                          <w:color w:val="000000" w:themeColor="text1"/>
                          <w:sz w:val="28"/>
                          <w:szCs w:val="28"/>
                        </w:rPr>
                        <w:t>TRACKER</w:t>
                      </w:r>
                    </w:p>
                  </w:txbxContent>
                </v:textbox>
                <w10:wrap type="square"/>
              </v:rect>
            </w:pict>
          </mc:Fallback>
        </mc:AlternateContent>
      </w:r>
      <w:r>
        <w:rPr>
          <w:rFonts w:ascii="Arial Nova" w:hAnsi="Arial Nova" w:cs="Arial"/>
          <w:sz w:val="18"/>
          <w:szCs w:val="18"/>
          <w:lang w:val="en-ZA" w:eastAsia="en-ZA"/>
        </w:rPr>
        <mc:AlternateContent>
          <mc:Choice Requires="wps">
            <w:drawing>
              <wp:anchor distT="0" distB="0" distL="114300" distR="114300" simplePos="0" relativeHeight="251662336" behindDoc="1" locked="0" layoutInCell="1" allowOverlap="1">
                <wp:simplePos x="0" y="0"/>
                <wp:positionH relativeFrom="column">
                  <wp:posOffset>-19685</wp:posOffset>
                </wp:positionH>
                <wp:positionV relativeFrom="paragraph">
                  <wp:posOffset>406400</wp:posOffset>
                </wp:positionV>
                <wp:extent cx="6083935" cy="1575435"/>
                <wp:effectExtent l="0" t="0" r="0" b="0"/>
                <wp:wrapNone/>
                <wp:docPr id="4" name="Text Box 4"/>
                <wp:cNvGraphicFramePr/>
                <a:graphic xmlns:a="http://schemas.openxmlformats.org/drawingml/2006/main">
                  <a:graphicData uri="http://schemas.microsoft.com/office/word/2010/wordprocessingShape">
                    <wps:wsp>
                      <wps:cNvSpPr txBox="1"/>
                      <wps:spPr>
                        <a:xfrm>
                          <a:off x="0" y="0"/>
                          <a:ext cx="6084000" cy="1575171"/>
                        </a:xfrm>
                        <a:prstGeom prst="rect">
                          <a:avLst/>
                        </a:prstGeom>
                        <a:solidFill>
                          <a:srgbClr val="FFD900">
                            <a:alpha val="34902"/>
                          </a:srgbClr>
                        </a:solidFill>
                        <a:ln w="6350">
                          <a:solidFill>
                            <a:prstClr val="black"/>
                          </a:solidFill>
                        </a:ln>
                      </wps:spPr>
                      <wps:txbx>
                        <w:txbxContent>
                          <w:p w14:paraId="3B9464B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pt;margin-top:32pt;height:124.05pt;width:479.05pt;z-index:-251654144;mso-width-relative:page;mso-height-relative:page;" fillcolor="#FFD900" filled="t" stroked="t" coordsize="21600,21600" o:gfxdata="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v&#10;32H92QAAAAkBAAAPAAAAAAAAAAEAIAAAACIAAABkcnMvZG93bnJldi54bWxQSwECFAAUAAAACACH&#10;TuJA1bpu61wCAADYBAAADgAAAAAAAAABACAAAAAoAQAAZHJzL2Uyb0RvYy54bWxQSwUGAAAAAAYA&#10;BgBZAQAA9gUAAAAA&#10;">
                <v:fill on="t" opacity="22873f" focussize="0,0"/>
                <v:stroke weight="0.5pt" color="#000000" joinstyle="round"/>
                <v:imagedata o:title=""/>
                <o:lock v:ext="edit" aspectratio="f"/>
                <v:textbox>
                  <w:txbxContent>
                    <w:p w14:paraId="3B9464B9"/>
                  </w:txbxContent>
                </v:textbox>
              </v:shape>
            </w:pict>
          </mc:Fallback>
        </mc:AlternateContent>
      </w:r>
    </w:p>
    <w:p w14:paraId="5652619B">
      <w:pPr>
        <w:jc w:val="both"/>
        <w:rPr>
          <w:rFonts w:ascii="Arial Nova" w:hAnsi="Arial Nova" w:cs="Arial"/>
          <w:sz w:val="28"/>
          <w:szCs w:val="28"/>
        </w:rPr>
      </w:pPr>
      <w:r>
        <w:rPr>
          <w:rFonts w:ascii="Arial Nova" w:hAnsi="Arial Nova" w:cs="Arial"/>
          <w:sz w:val="28"/>
          <w:szCs w:val="28"/>
        </w:rPr>
        <w:t xml:space="preserve">Welcome to the monthly food price tracker. This is an initiative of the African Market Observatory (AMO) of the </w:t>
      </w:r>
      <w:r>
        <w:fldChar w:fldCharType="begin"/>
      </w:r>
      <w:r>
        <w:instrText xml:space="preserve"> HYPERLINK "http://www.competition.org.za/" </w:instrText>
      </w:r>
      <w:r>
        <w:fldChar w:fldCharType="separate"/>
      </w:r>
      <w:r>
        <w:rPr>
          <w:rStyle w:val="10"/>
          <w:rFonts w:ascii="Arial Nova" w:hAnsi="Arial Nova" w:cs="Arial"/>
          <w:sz w:val="28"/>
          <w:szCs w:val="28"/>
        </w:rPr>
        <w:t>Centre for Competition, Regulation and Economic Development,</w:t>
      </w:r>
      <w:r>
        <w:rPr>
          <w:rStyle w:val="10"/>
          <w:rFonts w:ascii="Arial Nova" w:hAnsi="Arial Nova" w:cs="Arial"/>
          <w:sz w:val="28"/>
          <w:szCs w:val="28"/>
        </w:rPr>
        <w:fldChar w:fldCharType="end"/>
      </w:r>
      <w:r>
        <w:rPr>
          <w:rFonts w:ascii="Arial Nova" w:hAnsi="Arial Nova" w:cs="Arial"/>
          <w:sz w:val="28"/>
          <w:szCs w:val="28"/>
        </w:rPr>
        <w:t xml:space="preserve"> at the University of Johannesburg, and with</w:t>
      </w:r>
      <w:r>
        <w:rPr>
          <w:sz w:val="28"/>
          <w:szCs w:val="28"/>
        </w:rPr>
        <w:t xml:space="preserve"> </w:t>
      </w:r>
      <w:r>
        <w:rPr>
          <w:rFonts w:ascii="Arial Nova" w:hAnsi="Arial Nova" w:cs="Arial"/>
          <w:sz w:val="28"/>
          <w:szCs w:val="28"/>
        </w:rPr>
        <w:t>the</w:t>
      </w:r>
      <w:r>
        <w:rPr>
          <w:sz w:val="28"/>
          <w:szCs w:val="28"/>
        </w:rPr>
        <w:t xml:space="preserve"> </w:t>
      </w:r>
      <w:r>
        <w:rPr>
          <w:rFonts w:ascii="Arial Nova" w:hAnsi="Arial Nova" w:cs="Arial"/>
          <w:sz w:val="28"/>
          <w:szCs w:val="28"/>
        </w:rPr>
        <w:t>support</w:t>
      </w:r>
      <w:r>
        <w:rPr>
          <w:sz w:val="28"/>
          <w:szCs w:val="28"/>
        </w:rPr>
        <w:t xml:space="preserve"> </w:t>
      </w:r>
      <w:r>
        <w:rPr>
          <w:rFonts w:ascii="Arial Nova" w:hAnsi="Arial Nova" w:cs="Arial"/>
          <w:sz w:val="28"/>
          <w:szCs w:val="28"/>
        </w:rPr>
        <w:t>of</w:t>
      </w:r>
      <w:r>
        <w:rPr>
          <w:sz w:val="28"/>
          <w:szCs w:val="28"/>
        </w:rPr>
        <w:t xml:space="preserve"> </w:t>
      </w:r>
      <w:r>
        <w:rPr>
          <w:rFonts w:ascii="Arial Nova" w:hAnsi="Arial Nova" w:cs="Arial"/>
          <w:sz w:val="28"/>
          <w:szCs w:val="28"/>
        </w:rPr>
        <w:t>the</w:t>
      </w:r>
      <w:r>
        <w:rPr>
          <w:sz w:val="28"/>
          <w:szCs w:val="28"/>
        </w:rPr>
        <w:t xml:space="preserve"> </w:t>
      </w:r>
      <w:r>
        <w:fldChar w:fldCharType="begin"/>
      </w:r>
      <w:r>
        <w:instrText xml:space="preserve"> HYPERLINK "https://www.shambacentre.org/" </w:instrText>
      </w:r>
      <w:r>
        <w:fldChar w:fldCharType="separate"/>
      </w:r>
      <w:r>
        <w:rPr>
          <w:rStyle w:val="10"/>
          <w:sz w:val="28"/>
          <w:szCs w:val="28"/>
        </w:rPr>
        <w:t>Shamba Centre for Food and Climate</w:t>
      </w:r>
      <w:r>
        <w:rPr>
          <w:rStyle w:val="10"/>
          <w:sz w:val="28"/>
          <w:szCs w:val="28"/>
        </w:rPr>
        <w:fldChar w:fldCharType="end"/>
      </w:r>
      <w:r>
        <w:rPr>
          <w:sz w:val="28"/>
          <w:szCs w:val="28"/>
        </w:rPr>
        <w:t>.</w:t>
      </w:r>
      <w:r>
        <w:rPr>
          <w:rFonts w:ascii="Arial Nova" w:hAnsi="Arial Nova" w:cs="Arial"/>
          <w:sz w:val="28"/>
          <w:szCs w:val="28"/>
        </w:rPr>
        <w:t xml:space="preserve"> It summarises key trends in prices in East and Southern Africa (ESA) for selected staple food products, focusing on highlighted areas. </w:t>
      </w:r>
    </w:p>
    <w:p w14:paraId="1A88B83F">
      <w:pPr>
        <w:spacing w:before="120"/>
        <w:rPr>
          <w:rFonts w:ascii="Arial Nova" w:hAnsi="Arial Nova"/>
          <w:sz w:val="28"/>
          <w:szCs w:val="28"/>
          <w:lang w:val="en-GB"/>
        </w:rPr>
      </w:pPr>
    </w:p>
    <w:p w14:paraId="351AE099">
      <w:pPr>
        <w:spacing w:before="120"/>
        <w:rPr>
          <w:rFonts w:ascii="Arial Nova" w:hAnsi="Arial Nova"/>
          <w:sz w:val="28"/>
          <w:szCs w:val="28"/>
          <w:lang w:val="en-GB"/>
        </w:rPr>
      </w:pPr>
      <w:r>
        <w:rPr>
          <w:rFonts w:ascii="Arial Nova" w:hAnsi="Arial Nova"/>
          <w:sz w:val="28"/>
          <w:szCs w:val="28"/>
          <w:lang w:val="en-GB"/>
        </w:rPr>
        <w:t xml:space="preserve">Online version of the </w:t>
      </w:r>
      <w:r>
        <w:fldChar w:fldCharType="begin"/>
      </w:r>
      <w:r>
        <w:instrText xml:space="preserve"> HYPERLINK "http://tiny.cc/AMO_PriceTracker_Feb26" </w:instrText>
      </w:r>
      <w:r>
        <w:fldChar w:fldCharType="separate"/>
      </w:r>
      <w:r>
        <w:rPr>
          <w:rStyle w:val="10"/>
          <w:rFonts w:ascii="Arial Nova" w:hAnsi="Arial Nova"/>
          <w:b/>
          <w:bCs/>
          <w:color w:val="E97132" w:themeColor="accent2"/>
          <w:sz w:val="28"/>
          <w:szCs w:val="28"/>
          <w:lang w:val="en-GB"/>
        </w:rPr>
        <w:t>FEBRUARY 2026 PRICE TRACKER</w:t>
      </w:r>
      <w:r>
        <w:rPr>
          <w:rStyle w:val="10"/>
          <w:rFonts w:ascii="Arial Nova" w:hAnsi="Arial Nova"/>
          <w:b/>
          <w:bCs/>
          <w:color w:val="E97132" w:themeColor="accent2"/>
          <w:sz w:val="28"/>
          <w:szCs w:val="28"/>
          <w:lang w:val="en-GB"/>
        </w:rPr>
        <w:fldChar w:fldCharType="end"/>
      </w:r>
      <w:r>
        <w:rPr>
          <w:rFonts w:ascii="Arial Nova" w:hAnsi="Arial Nova"/>
          <w:sz w:val="28"/>
          <w:szCs w:val="28"/>
          <w:lang w:val="en-GB"/>
        </w:rPr>
        <w:t xml:space="preserve"> </w:t>
      </w:r>
    </w:p>
    <w:p w14:paraId="47C857CE">
      <w:pPr>
        <w:pStyle w:val="3"/>
        <w:rPr>
          <w:rStyle w:val="13"/>
        </w:rPr>
      </w:pPr>
    </w:p>
    <w:p w14:paraId="2278C133">
      <w:pPr>
        <w:pStyle w:val="3"/>
        <w:rPr>
          <w:rStyle w:val="13"/>
        </w:rPr>
      </w:pPr>
    </w:p>
    <w:p w14:paraId="7D583763">
      <w:pPr>
        <w:pStyle w:val="3"/>
      </w:pPr>
      <w:r>
        <w:rPr>
          <w:rStyle w:val="13"/>
        </w:rPr>
        <w:t xml:space="preserve">Key Development </w:t>
      </w:r>
    </w:p>
    <w:p w14:paraId="3C51DE6E">
      <w:pPr>
        <w:pStyle w:val="3"/>
        <w:numPr>
          <w:ilvl w:val="0"/>
          <w:numId w:val="1"/>
        </w:numPr>
      </w:pPr>
      <w:r>
        <w:t xml:space="preserve">The attack on </w:t>
      </w:r>
      <w:r>
        <w:fldChar w:fldCharType="begin"/>
      </w:r>
      <w:r>
        <w:instrText xml:space="preserve"> HYPERLINK "https://www.ifpri.org/blog/the-iran-war-potential-food-security-impacts/" \h </w:instrText>
      </w:r>
      <w:r>
        <w:fldChar w:fldCharType="separate"/>
      </w:r>
      <w:r>
        <w:rPr>
          <w:rStyle w:val="15"/>
        </w:rPr>
        <w:t>Iran</w:t>
      </w:r>
      <w:r>
        <w:rPr>
          <w:rStyle w:val="15"/>
        </w:rPr>
        <w:fldChar w:fldCharType="end"/>
      </w:r>
      <w:r>
        <w:t xml:space="preserve"> and blocking of the strait of Hormuz is threatening fertilizer supplies and driving global prices with knock-on effects on food prices.</w:t>
      </w:r>
    </w:p>
    <w:p w14:paraId="2BCEF967">
      <w:pPr>
        <w:pStyle w:val="3"/>
        <w:numPr>
          <w:ilvl w:val="0"/>
          <w:numId w:val="1"/>
        </w:numPr>
      </w:pPr>
      <w:r>
        <w:t>In the East and Southern Africa (ESA) region short-term food security conditions remain favourable, as most countries expect substantial harvests  in the next two months based on fertilizer purchased in late 2025.</w:t>
      </w:r>
    </w:p>
    <w:p w14:paraId="3E42BD49">
      <w:pPr>
        <w:pStyle w:val="3"/>
        <w:numPr>
          <w:ilvl w:val="0"/>
          <w:numId w:val="1"/>
        </w:numPr>
      </w:pPr>
      <w:r>
        <w:t xml:space="preserve">Animal feed prices in </w:t>
      </w:r>
      <w:r>
        <w:fldChar w:fldCharType="begin"/>
      </w:r>
      <w:r>
        <w:instrText xml:space="preserve"> HYPERLINK "https://www.feedbusinessmea.com/2026/02/27/livestock-feed-prices-surge-as-kenya-struggles-with-imported-inputs/" \h </w:instrText>
      </w:r>
      <w:r>
        <w:fldChar w:fldCharType="separate"/>
      </w:r>
      <w:r>
        <w:rPr>
          <w:rStyle w:val="15"/>
        </w:rPr>
        <w:t>Kenya surge by 45%</w:t>
      </w:r>
      <w:r>
        <w:rPr>
          <w:rStyle w:val="15"/>
        </w:rPr>
        <w:fldChar w:fldCharType="end"/>
      </w:r>
      <w:r>
        <w:t xml:space="preserve">, despite regional surpluses in 2025 across key inputs such as </w:t>
      </w:r>
      <w:r>
        <w:fldChar w:fldCharType="begin"/>
      </w:r>
      <w:r>
        <w:instrText xml:space="preserve"> HYPERLINK "chrome-extension://efaidnbmnnnibpcajpcglclefindmkaj/https:/static1.squarespace.com/static/52246331e4b0a46e5f1b8ce5/t/697a1c8688e6e070ae56525d/1769610374770/AMO_Price+Tracker_51_Year+2025+in+Review_20260127.pdf" \h </w:instrText>
      </w:r>
      <w:r>
        <w:fldChar w:fldCharType="separate"/>
      </w:r>
      <w:r>
        <w:rPr>
          <w:rStyle w:val="15"/>
        </w:rPr>
        <w:t>maize and soybean</w:t>
      </w:r>
      <w:r>
        <w:rPr>
          <w:rStyle w:val="15"/>
        </w:rPr>
        <w:fldChar w:fldCharType="end"/>
      </w:r>
      <w:r>
        <w:t xml:space="preserve"> that could meet Kenyan shortages.  </w:t>
      </w:r>
    </w:p>
    <w:p w14:paraId="21645D55">
      <w:pPr>
        <w:pStyle w:val="3"/>
        <w:numPr>
          <w:ilvl w:val="0"/>
          <w:numId w:val="1"/>
        </w:numPr>
      </w:pPr>
      <w:r>
        <w:t xml:space="preserve">Kenya is simultaneously suffering from </w:t>
      </w:r>
      <w:r>
        <w:fldChar w:fldCharType="begin"/>
      </w:r>
      <w:r>
        <w:instrText xml:space="preserve"> HYPERLINK "https://www.reuters.com/business/environment/kenya-says-death-toll-floods-nearly-doubles-42-2026-03-09/" \h </w:instrText>
      </w:r>
      <w:r>
        <w:fldChar w:fldCharType="separate"/>
      </w:r>
      <w:r>
        <w:rPr>
          <w:rStyle w:val="15"/>
        </w:rPr>
        <w:t>drought and floods</w:t>
      </w:r>
      <w:r>
        <w:rPr>
          <w:rStyle w:val="15"/>
        </w:rPr>
        <w:fldChar w:fldCharType="end"/>
      </w:r>
      <w:r>
        <w:t xml:space="preserve"> as climate change brings more extreme conditions. </w:t>
      </w:r>
    </w:p>
    <w:p w14:paraId="225D481E">
      <w:pPr>
        <w:pStyle w:val="3"/>
        <w:numPr>
          <w:ilvl w:val="0"/>
          <w:numId w:val="1"/>
        </w:numPr>
      </w:pPr>
      <w:r>
        <w:t xml:space="preserve">Latest </w:t>
      </w:r>
      <w:r>
        <w:fldChar w:fldCharType="begin"/>
      </w:r>
      <w:r>
        <w:instrText xml:space="preserve"> HYPERLINK "https://www.cpc.ncep.noaa.gov/products/analysis_monitoring/enso_advisory/ensodisc.shtml" \h </w:instrText>
      </w:r>
      <w:r>
        <w:fldChar w:fldCharType="separate"/>
      </w:r>
      <w:r>
        <w:rPr>
          <w:rStyle w:val="15"/>
        </w:rPr>
        <w:t>climate forecasts</w:t>
      </w:r>
      <w:r>
        <w:rPr>
          <w:rStyle w:val="15"/>
        </w:rPr>
        <w:fldChar w:fldCharType="end"/>
      </w:r>
      <w:r>
        <w:t xml:space="preserve"> put a 62% probability on El Niño emerging by mid 2026 and persisting through year-end - a shift that could add further pressure to the region. </w:t>
      </w:r>
    </w:p>
    <w:p w14:paraId="11795CDB">
      <w:pPr>
        <w:rPr>
          <w:rFonts w:ascii="Calibri Light"/>
          <w:color w:val="156082" w:themeColor="accent1"/>
          <w:sz w:val="32"/>
        </w:rPr>
      </w:pPr>
      <w:r>
        <w:br w:type="page"/>
      </w:r>
    </w:p>
    <w:p w14:paraId="6FA47040">
      <w:pPr>
        <w:pStyle w:val="2"/>
      </w:pPr>
      <w:r>
        <w:t>Maize developments</w:t>
      </w:r>
    </w:p>
    <w:p w14:paraId="127340C9">
      <w:pPr>
        <w:pStyle w:val="3"/>
      </w:pPr>
      <w:r>
        <w:t>Figure 1: Maize prices, selected East African countries</w:t>
      </w:r>
    </w:p>
    <w:p w14:paraId="6A892A52">
      <w:pPr>
        <w:jc w:val="center"/>
      </w:pPr>
      <w:r>
        <w:drawing>
          <wp:inline distT="0" distB="0" distL="0" distR="0">
            <wp:extent cx="4298315" cy="3182620"/>
            <wp:effectExtent l="0" t="0" r="0" b="0"/>
            <wp:docPr id="1238481863" name="Picture4" descr="PT 53_Feb 26_Sway_Maize-East_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481863" name="Picture4" descr="PT 53_Feb 26_Sway_Maize-East_Fig1.png"/>
                    <pic:cNvPicPr>
                      <a:picLocks noChangeAspect="1"/>
                    </pic:cNvPicPr>
                  </pic:nvPicPr>
                  <pic:blipFill>
                    <a:blip r:embed="rId6" cstate="print"/>
                    <a:stretch>
                      <a:fillRect/>
                    </a:stretch>
                  </pic:blipFill>
                  <pic:spPr>
                    <a:xfrm>
                      <a:off x="0" y="0"/>
                      <a:ext cx="4298632" cy="3182641"/>
                    </a:xfrm>
                    <a:prstGeom prst="rect">
                      <a:avLst/>
                    </a:prstGeom>
                  </pic:spPr>
                </pic:pic>
              </a:graphicData>
            </a:graphic>
          </wp:inline>
        </w:drawing>
      </w:r>
    </w:p>
    <w:p w14:paraId="2B297AAF">
      <w:pPr>
        <w:pStyle w:val="19"/>
      </w:pPr>
      <w:r>
        <w:fldChar w:fldCharType="begin"/>
      </w:r>
      <w:r>
        <w:instrText xml:space="preserve"> SEQ Figure \*ARABIC </w:instrText>
      </w:r>
      <w:r>
        <w:fldChar w:fldCharType="separate"/>
      </w:r>
      <w:r>
        <w:t>1</w:t>
      </w:r>
      <w:r>
        <w:fldChar w:fldCharType="end"/>
      </w:r>
      <w:r>
        <w:t xml:space="preserve"> - </w:t>
      </w:r>
      <w:r>
        <w:rPr>
          <w:rStyle w:val="14"/>
          <w:i w:val="0"/>
        </w:rPr>
        <w:t>Source: AMO based on price tracker data from multiple sources</w:t>
      </w:r>
    </w:p>
    <w:p w14:paraId="71545ED1">
      <w:pPr>
        <w:pStyle w:val="3"/>
        <w:numPr>
          <w:ilvl w:val="0"/>
          <w:numId w:val="2"/>
        </w:numPr>
      </w:pPr>
      <w:r>
        <w:rPr>
          <w:rStyle w:val="13"/>
        </w:rPr>
        <w:t xml:space="preserve">Kenyan </w:t>
      </w:r>
      <w:r>
        <w:t xml:space="preserve">maize prices continue to increase reaching US$385/Mt in February, as drought in northern areas </w:t>
      </w:r>
      <w:r>
        <w:fldChar w:fldCharType="begin"/>
      </w:r>
      <w:r>
        <w:instrText xml:space="preserve"> HYPERLINK "https://impakter.com/northern-kenya-drought-hunger-crisis/" \h </w:instrText>
      </w:r>
      <w:r>
        <w:fldChar w:fldCharType="separate"/>
      </w:r>
      <w:r>
        <w:rPr>
          <w:rStyle w:val="15"/>
        </w:rPr>
        <w:t>persist</w:t>
      </w:r>
      <w:r>
        <w:rPr>
          <w:rStyle w:val="15"/>
        </w:rPr>
        <w:fldChar w:fldCharType="end"/>
      </w:r>
      <w:r>
        <w:t xml:space="preserve"> while there are unseasonal floods in other parts. </w:t>
      </w:r>
    </w:p>
    <w:p w14:paraId="4CC6708F">
      <w:pPr>
        <w:pStyle w:val="3"/>
        <w:numPr>
          <w:ilvl w:val="0"/>
          <w:numId w:val="2"/>
        </w:numPr>
      </w:pPr>
      <w:r>
        <w:t xml:space="preserve">Price increases are also affecting the animal feed industry, amid increasing demand and additional feed manufacturing capacity of </w:t>
      </w:r>
      <w:r>
        <w:fldChar w:fldCharType="begin"/>
      </w:r>
      <w:r>
        <w:instrText xml:space="preserve"> HYPERLINK "https://www.feedbusinessmea.com/2026/02/27/livestock-feed-prices-surge-as-kenya-struggles-with-imported-inputs/" \h </w:instrText>
      </w:r>
      <w:r>
        <w:fldChar w:fldCharType="separate"/>
      </w:r>
      <w:r>
        <w:rPr>
          <w:rStyle w:val="15"/>
        </w:rPr>
        <w:t>240,000 tonnes</w:t>
      </w:r>
      <w:r>
        <w:rPr>
          <w:rStyle w:val="15"/>
        </w:rPr>
        <w:fldChar w:fldCharType="end"/>
      </w:r>
      <w:r>
        <w:t xml:space="preserve">. </w:t>
      </w:r>
    </w:p>
    <w:p w14:paraId="73D908B8">
      <w:pPr>
        <w:pStyle w:val="3"/>
        <w:numPr>
          <w:ilvl w:val="0"/>
          <w:numId w:val="2"/>
        </w:numPr>
      </w:pPr>
      <w:r>
        <w:rPr>
          <w:rStyle w:val="13"/>
        </w:rPr>
        <w:t>Uganda’s</w:t>
      </w:r>
      <w:r>
        <w:t xml:space="preserve"> maize prices fell below US$350/Mt as markets anticipated increased regional supply, particularly Zambian exports to Kenya, easing demand for Ugandan maize in its key export market.</w:t>
      </w:r>
    </w:p>
    <w:p w14:paraId="683074D3">
      <w:pPr>
        <w:pStyle w:val="3"/>
        <w:numPr>
          <w:ilvl w:val="0"/>
          <w:numId w:val="2"/>
        </w:numPr>
      </w:pPr>
      <w:r>
        <w:rPr>
          <w:rStyle w:val="13"/>
        </w:rPr>
        <w:t xml:space="preserve">Tanzania’s </w:t>
      </w:r>
      <w:r>
        <w:t xml:space="preserve">overall fertilizer utilization rose in the 2024/25 planting season pointing a good 2026 maize harvest that could reduce prices from their current levels of US$290/Mt  - though </w:t>
      </w:r>
      <w:r>
        <w:fldChar w:fldCharType="begin"/>
      </w:r>
      <w:r>
        <w:instrText xml:space="preserve"> HYPERLINK "https://www.cropmonitor.org/crop-monitor-for-early-warning-202603" \l "section5" \h </w:instrText>
      </w:r>
      <w:r>
        <w:fldChar w:fldCharType="separate"/>
      </w:r>
      <w:r>
        <w:rPr>
          <w:rStyle w:val="15"/>
        </w:rPr>
        <w:t>delayed rains</w:t>
      </w:r>
      <w:r>
        <w:rPr>
          <w:rStyle w:val="15"/>
        </w:rPr>
        <w:fldChar w:fldCharType="end"/>
      </w:r>
      <w:r>
        <w:t xml:space="preserve"> introduce some uncertainty.</w:t>
      </w:r>
    </w:p>
    <w:p w14:paraId="09B72093">
      <w:pPr>
        <w:rPr>
          <w:rFonts w:ascii="Calibri"/>
        </w:rPr>
      </w:pPr>
    </w:p>
    <w:p w14:paraId="2CAAFA97">
      <w:pPr>
        <w:rPr>
          <w:rFonts w:ascii="Calibri"/>
        </w:rPr>
      </w:pPr>
      <w:r>
        <w:br w:type="page"/>
      </w:r>
    </w:p>
    <w:p w14:paraId="25FEB7C4">
      <w:pPr>
        <w:pStyle w:val="3"/>
      </w:pPr>
      <w:r>
        <w:t>Figure 2: Maize prices, selected Southern African countries</w:t>
      </w:r>
    </w:p>
    <w:p w14:paraId="37DCB05F">
      <w:pPr>
        <w:jc w:val="center"/>
      </w:pPr>
      <w:r>
        <w:drawing>
          <wp:inline distT="0" distB="0" distL="0" distR="0">
            <wp:extent cx="4298315" cy="3182620"/>
            <wp:effectExtent l="0" t="0" r="0" b="0"/>
            <wp:docPr id="892708976" name="Picture5" descr="PT 53_Feb 26_Sway_Maize-South_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08976" name="Picture5" descr="PT 53_Feb 26_Sway_Maize-South_Fig2.png"/>
                    <pic:cNvPicPr>
                      <a:picLocks noChangeAspect="1"/>
                    </pic:cNvPicPr>
                  </pic:nvPicPr>
                  <pic:blipFill>
                    <a:blip r:embed="rId7" cstate="print"/>
                    <a:stretch>
                      <a:fillRect/>
                    </a:stretch>
                  </pic:blipFill>
                  <pic:spPr>
                    <a:xfrm>
                      <a:off x="0" y="0"/>
                      <a:ext cx="4298632" cy="3182641"/>
                    </a:xfrm>
                    <a:prstGeom prst="rect">
                      <a:avLst/>
                    </a:prstGeom>
                  </pic:spPr>
                </pic:pic>
              </a:graphicData>
            </a:graphic>
          </wp:inline>
        </w:drawing>
      </w:r>
    </w:p>
    <w:p w14:paraId="28670202">
      <w:pPr>
        <w:pStyle w:val="19"/>
      </w:pPr>
      <w:r>
        <w:fldChar w:fldCharType="begin"/>
      </w:r>
      <w:r>
        <w:instrText xml:space="preserve"> SEQ Figure \*ARABIC </w:instrText>
      </w:r>
      <w:r>
        <w:fldChar w:fldCharType="separate"/>
      </w:r>
      <w:r>
        <w:t>2</w:t>
      </w:r>
      <w:r>
        <w:fldChar w:fldCharType="end"/>
      </w:r>
      <w:r>
        <w:t xml:space="preserve"> - </w:t>
      </w:r>
      <w:r>
        <w:rPr>
          <w:rStyle w:val="14"/>
          <w:i w:val="0"/>
        </w:rPr>
        <w:t>Source: AMO based on price tracker data from multiple sources. *Malawi prices received in local currency and converted using the parallel exchange rate from November 2024, as discussed </w:t>
      </w:r>
      <w:r>
        <w:fldChar w:fldCharType="begin"/>
      </w:r>
      <w:r>
        <w:instrText xml:space="preserve"> HYPERLINK "https://tiny.cc/AMO_PriceTracker_Fe-Mar25" \h </w:instrText>
      </w:r>
      <w:r>
        <w:fldChar w:fldCharType="separate"/>
      </w:r>
      <w:r>
        <w:rPr>
          <w:rStyle w:val="17"/>
          <w:i w:val="0"/>
        </w:rPr>
        <w:t>here</w:t>
      </w:r>
      <w:r>
        <w:rPr>
          <w:rStyle w:val="17"/>
          <w:i w:val="0"/>
        </w:rPr>
        <w:fldChar w:fldCharType="end"/>
      </w:r>
      <w:r>
        <w:rPr>
          <w:rStyle w:val="14"/>
          <w:i w:val="0"/>
        </w:rPr>
        <w:t>.</w:t>
      </w:r>
    </w:p>
    <w:p w14:paraId="12C4C3DF">
      <w:pPr>
        <w:pStyle w:val="3"/>
        <w:numPr>
          <w:ilvl w:val="0"/>
          <w:numId w:val="3"/>
        </w:numPr>
      </w:pPr>
      <w:r>
        <w:t xml:space="preserve">Prices in </w:t>
      </w:r>
      <w:r>
        <w:rPr>
          <w:rStyle w:val="13"/>
        </w:rPr>
        <w:t>Malawi</w:t>
      </w:r>
      <w:r>
        <w:t xml:space="preserve"> saw a slight uptick to US$ 235/Mt at the parallel exchange rate. Informal trade across borders continues despite an export ban in place, as traders by-pass prices of MWK840/kg (US$220/Mt at parallel rates) being offered by the </w:t>
      </w:r>
      <w:r>
        <w:fldChar w:fldCharType="begin"/>
      </w:r>
      <w:r>
        <w:instrText xml:space="preserve"> HYPERLINK "https://mwnation.com/maize-traders-insist-on-k1-100-per-kg/" \h </w:instrText>
      </w:r>
      <w:r>
        <w:fldChar w:fldCharType="separate"/>
      </w:r>
      <w:r>
        <w:rPr>
          <w:rStyle w:val="15"/>
        </w:rPr>
        <w:t>National Food Reserve Agency</w:t>
      </w:r>
      <w:r>
        <w:rPr>
          <w:rStyle w:val="15"/>
        </w:rPr>
        <w:fldChar w:fldCharType="end"/>
      </w:r>
      <w:r>
        <w:t>.</w:t>
      </w:r>
    </w:p>
    <w:p w14:paraId="219AFDE2">
      <w:pPr>
        <w:pStyle w:val="3"/>
        <w:numPr>
          <w:ilvl w:val="0"/>
          <w:numId w:val="3"/>
        </w:numPr>
      </w:pPr>
      <w:r>
        <w:rPr>
          <w:rStyle w:val="13"/>
        </w:rPr>
        <w:t>Zimbabwe</w:t>
      </w:r>
      <w:r>
        <w:t xml:space="preserve"> remains import dependent, with local maize supply constrained ahead of the April marketing season, keeping prices above US$300/Mt.</w:t>
      </w:r>
    </w:p>
    <w:p w14:paraId="520A7F99">
      <w:pPr>
        <w:pStyle w:val="3"/>
        <w:numPr>
          <w:ilvl w:val="0"/>
          <w:numId w:val="3"/>
        </w:numPr>
      </w:pPr>
      <w:r>
        <w:rPr>
          <w:rStyle w:val="13"/>
        </w:rPr>
        <w:t>Zambia’s</w:t>
      </w:r>
      <w:r>
        <w:t xml:space="preserve"> prices slightly decreased to US$318/Mt but are still at high levels driven by the government owned Food Reserve Agency (FRA) </w:t>
      </w:r>
      <w:r>
        <w:fldChar w:fldCharType="begin"/>
      </w:r>
      <w:r>
        <w:instrText xml:space="preserve"> HYPERLINK "https://www.zambiamonitor.com/govt-claims-k11-3-billion-paid-to-846000-farmers-as-debt-owed-by-food-reserve-agency-for-maize-supplies/" \h </w:instrText>
      </w:r>
      <w:r>
        <w:fldChar w:fldCharType="separate"/>
      </w:r>
      <w:r>
        <w:rPr>
          <w:rStyle w:val="15"/>
        </w:rPr>
        <w:t>purchases</w:t>
      </w:r>
      <w:r>
        <w:rPr>
          <w:rStyle w:val="15"/>
        </w:rPr>
        <w:fldChar w:fldCharType="end"/>
      </w:r>
      <w:r>
        <w:t xml:space="preserve"> and demand from East Africa. The FRA is the </w:t>
      </w:r>
      <w:r>
        <w:fldChar w:fldCharType="begin"/>
      </w:r>
      <w:r>
        <w:instrText xml:space="preserve"> HYPERLINK "https://openknowledge.worldbank.org/server/api/core/bitstreams/2a5239a6-1c84-5a6b-ac36-945e736672ab/content" \h </w:instrText>
      </w:r>
      <w:r>
        <w:fldChar w:fldCharType="separate"/>
      </w:r>
      <w:r>
        <w:rPr>
          <w:rStyle w:val="15"/>
        </w:rPr>
        <w:t>largest maize buyer in Zambia</w:t>
      </w:r>
      <w:r>
        <w:rPr>
          <w:rStyle w:val="15"/>
        </w:rPr>
        <w:fldChar w:fldCharType="end"/>
      </w:r>
      <w:r>
        <w:t xml:space="preserve">, its 2025 purchases of over </w:t>
      </w:r>
      <w:r>
        <w:fldChar w:fldCharType="begin"/>
      </w:r>
      <w:r>
        <w:instrText xml:space="preserve"> HYPERLINK "https://www.pdu.gov.zm/blog/zambias-fra-records-historic-16-million-metric-tonne-maize-purchase" \h </w:instrText>
      </w:r>
      <w:r>
        <w:fldChar w:fldCharType="separate"/>
      </w:r>
      <w:r>
        <w:rPr>
          <w:rStyle w:val="15"/>
        </w:rPr>
        <w:t xml:space="preserve">1.6 million Mt was one of the largest </w:t>
      </w:r>
      <w:r>
        <w:rPr>
          <w:rStyle w:val="15"/>
        </w:rPr>
        <w:fldChar w:fldCharType="end"/>
      </w:r>
      <w:r>
        <w:t>ever, while a further good harvest is expected in the coming months.</w:t>
      </w:r>
    </w:p>
    <w:p w14:paraId="77CDE8C5">
      <w:pPr>
        <w:pStyle w:val="3"/>
        <w:numPr>
          <w:ilvl w:val="0"/>
          <w:numId w:val="3"/>
        </w:numPr>
      </w:pPr>
      <w:r>
        <w:t xml:space="preserve">With the Zambian general elections taking place in August 2026, we will monitor its impact on maize prices. </w:t>
      </w:r>
    </w:p>
    <w:p w14:paraId="53236C26">
      <w:pPr>
        <w:rPr>
          <w:rFonts w:ascii="Calibri Light"/>
          <w:color w:val="156082" w:themeColor="accent1"/>
          <w:sz w:val="32"/>
        </w:rPr>
      </w:pPr>
    </w:p>
    <w:p w14:paraId="09CF8A31">
      <w:pPr>
        <w:rPr>
          <w:rFonts w:ascii="Calibri Light"/>
          <w:color w:val="156082" w:themeColor="accent1"/>
          <w:sz w:val="32"/>
        </w:rPr>
      </w:pPr>
      <w:r>
        <w:br w:type="page"/>
      </w:r>
    </w:p>
    <w:p w14:paraId="3167C5C1">
      <w:pPr>
        <w:pStyle w:val="2"/>
      </w:pPr>
      <w:r>
        <w:t>Soybean developments</w:t>
      </w:r>
    </w:p>
    <w:p w14:paraId="751A3E13">
      <w:pPr>
        <w:pStyle w:val="3"/>
      </w:pPr>
      <w:r>
        <w:t>Figure 3: Soybean prices, selected East African countries</w:t>
      </w:r>
    </w:p>
    <w:p w14:paraId="0ACC4B41">
      <w:pPr>
        <w:jc w:val="center"/>
      </w:pPr>
      <w:r>
        <w:drawing>
          <wp:inline distT="0" distB="0" distL="0" distR="0">
            <wp:extent cx="4298315" cy="3143250"/>
            <wp:effectExtent l="0" t="0" r="0" b="0"/>
            <wp:docPr id="22023924" name="Picture6" descr="PT 53_Feb 26_Sway_Soy-East_Fig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3924" name="Picture6" descr="PT 53_Feb 26_Sway_Soy-East_Fig3-b.png"/>
                    <pic:cNvPicPr>
                      <a:picLocks noChangeAspect="1"/>
                    </pic:cNvPicPr>
                  </pic:nvPicPr>
                  <pic:blipFill>
                    <a:blip r:embed="rId8" cstate="print"/>
                    <a:stretch>
                      <a:fillRect/>
                    </a:stretch>
                  </pic:blipFill>
                  <pic:spPr>
                    <a:xfrm>
                      <a:off x="0" y="0"/>
                      <a:ext cx="4298632" cy="3143375"/>
                    </a:xfrm>
                    <a:prstGeom prst="rect">
                      <a:avLst/>
                    </a:prstGeom>
                  </pic:spPr>
                </pic:pic>
              </a:graphicData>
            </a:graphic>
          </wp:inline>
        </w:drawing>
      </w:r>
    </w:p>
    <w:p w14:paraId="5A6FA2C0">
      <w:pPr>
        <w:pStyle w:val="19"/>
      </w:pPr>
      <w:r>
        <w:fldChar w:fldCharType="begin"/>
      </w:r>
      <w:r>
        <w:instrText xml:space="preserve"> SEQ Figure \*ARABIC </w:instrText>
      </w:r>
      <w:r>
        <w:fldChar w:fldCharType="separate"/>
      </w:r>
      <w:r>
        <w:t>3</w:t>
      </w:r>
      <w:r>
        <w:fldChar w:fldCharType="end"/>
      </w:r>
      <w:r>
        <w:t xml:space="preserve"> - </w:t>
      </w:r>
      <w:r>
        <w:rPr>
          <w:rStyle w:val="14"/>
          <w:i w:val="0"/>
        </w:rPr>
        <w:t xml:space="preserve">Source: AMO based on price tracker data from multiple sources. </w:t>
      </w:r>
    </w:p>
    <w:p w14:paraId="07C38B0D">
      <w:pPr>
        <w:pStyle w:val="3"/>
        <w:numPr>
          <w:ilvl w:val="0"/>
          <w:numId w:val="4"/>
        </w:numPr>
      </w:pPr>
      <w:r>
        <w:rPr>
          <w:rStyle w:val="13"/>
        </w:rPr>
        <w:t>Kenya</w:t>
      </w:r>
      <w:r>
        <w:t xml:space="preserve"> soymeal prices have remained at high levels, more than US$200/t above Zambia from where it is sourced, and 60% higher than international prices.</w:t>
      </w:r>
    </w:p>
    <w:p w14:paraId="73BA2964">
      <w:pPr>
        <w:pStyle w:val="3"/>
        <w:numPr>
          <w:ilvl w:val="0"/>
          <w:numId w:val="4"/>
        </w:numPr>
      </w:pPr>
      <w:r>
        <w:t xml:space="preserve">Soybean prices in </w:t>
      </w:r>
      <w:r>
        <w:rPr>
          <w:rStyle w:val="13"/>
        </w:rPr>
        <w:t>Uganda</w:t>
      </w:r>
      <w:r>
        <w:t xml:space="preserve"> have increased towards US$700/Mt as stocks tighten.</w:t>
      </w:r>
    </w:p>
    <w:p w14:paraId="47D2DFF5">
      <w:pPr>
        <w:pStyle w:val="3"/>
      </w:pPr>
      <w:r>
        <w:t>Figure 4: Soybean prices, Southern African countries</w:t>
      </w:r>
    </w:p>
    <w:p w14:paraId="7FE692CA">
      <w:pPr>
        <w:jc w:val="center"/>
      </w:pPr>
      <w:r>
        <w:drawing>
          <wp:inline distT="0" distB="0" distL="0" distR="0">
            <wp:extent cx="4298315" cy="3232785"/>
            <wp:effectExtent l="0" t="0" r="0" b="0"/>
            <wp:docPr id="1973851004" name="Picture7" descr="PT 53_Feb 26_Sway_Soy-South_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51004" name="Picture7" descr="PT 53_Feb 26_Sway_Soy-South_Fig4.png"/>
                    <pic:cNvPicPr>
                      <a:picLocks noChangeAspect="1"/>
                    </pic:cNvPicPr>
                  </pic:nvPicPr>
                  <pic:blipFill>
                    <a:blip r:embed="rId9" cstate="print"/>
                    <a:stretch>
                      <a:fillRect/>
                    </a:stretch>
                  </pic:blipFill>
                  <pic:spPr>
                    <a:xfrm>
                      <a:off x="0" y="0"/>
                      <a:ext cx="4298632" cy="3233229"/>
                    </a:xfrm>
                    <a:prstGeom prst="rect">
                      <a:avLst/>
                    </a:prstGeom>
                  </pic:spPr>
                </pic:pic>
              </a:graphicData>
            </a:graphic>
          </wp:inline>
        </w:drawing>
      </w:r>
    </w:p>
    <w:p w14:paraId="4B9A58F3">
      <w:pPr>
        <w:pStyle w:val="19"/>
      </w:pPr>
      <w:r>
        <w:fldChar w:fldCharType="begin"/>
      </w:r>
      <w:r>
        <w:instrText xml:space="preserve"> SEQ Figure \*ARABIC </w:instrText>
      </w:r>
      <w:r>
        <w:fldChar w:fldCharType="separate"/>
      </w:r>
      <w:r>
        <w:t>4</w:t>
      </w:r>
      <w:r>
        <w:fldChar w:fldCharType="end"/>
      </w:r>
      <w:r>
        <w:t xml:space="preserve"> - </w:t>
      </w:r>
      <w:r>
        <w:rPr>
          <w:rStyle w:val="14"/>
          <w:i w:val="0"/>
        </w:rPr>
        <w:t xml:space="preserve">Source: AMO based on price tracker data from multiple sources. *Malawi prices received in local currency and converted using the parallel exchange rate from November 2024, as discussed </w:t>
      </w:r>
      <w:r>
        <w:fldChar w:fldCharType="begin"/>
      </w:r>
      <w:r>
        <w:instrText xml:space="preserve"> HYPERLINK "https://tiny.cc/AMO_PriceTracker_Fe-Mar25" \h </w:instrText>
      </w:r>
      <w:r>
        <w:fldChar w:fldCharType="separate"/>
      </w:r>
      <w:r>
        <w:rPr>
          <w:rStyle w:val="15"/>
        </w:rPr>
        <w:t>here</w:t>
      </w:r>
      <w:r>
        <w:rPr>
          <w:rStyle w:val="15"/>
        </w:rPr>
        <w:fldChar w:fldCharType="end"/>
      </w:r>
      <w:r>
        <w:rPr>
          <w:rStyle w:val="14"/>
          <w:i w:val="0"/>
        </w:rPr>
        <w:t>.</w:t>
      </w:r>
    </w:p>
    <w:p w14:paraId="7B534EFF">
      <w:pPr>
        <w:pStyle w:val="3"/>
        <w:numPr>
          <w:ilvl w:val="0"/>
          <w:numId w:val="5"/>
        </w:numPr>
      </w:pPr>
      <w:r>
        <w:t xml:space="preserve">Since the end of last year, </w:t>
      </w:r>
      <w:r>
        <w:rPr>
          <w:rStyle w:val="13"/>
        </w:rPr>
        <w:t>Zimbabwe</w:t>
      </w:r>
      <w:r>
        <w:t>’s soybean prices have remained stable at around US$510/tonne, with domestic demand met by imports from South Africa.</w:t>
      </w:r>
    </w:p>
    <w:p w14:paraId="460A7BFB">
      <w:pPr>
        <w:pStyle w:val="3"/>
        <w:numPr>
          <w:ilvl w:val="0"/>
          <w:numId w:val="5"/>
        </w:numPr>
      </w:pPr>
      <w:r>
        <w:rPr>
          <w:rStyle w:val="13"/>
        </w:rPr>
        <w:t xml:space="preserve">Malawi </w:t>
      </w:r>
      <w:r>
        <w:t xml:space="preserve">soybean prices continue to fluctuate with February prices reaching just over US$580/Mt. Sources reference reduction in stock availability as the harvest is expected to begin in the last week of March 2026. </w:t>
      </w:r>
      <w:r>
        <w:rPr>
          <w:i/>
          <w:iCs/>
        </w:rPr>
        <w:t>[1]</w:t>
      </w:r>
      <w:r>
        <w:t xml:space="preserve"> </w:t>
      </w:r>
    </w:p>
    <w:p w14:paraId="1B4322E1">
      <w:pPr>
        <w:pStyle w:val="3"/>
        <w:numPr>
          <w:ilvl w:val="0"/>
          <w:numId w:val="5"/>
        </w:numPr>
      </w:pPr>
      <w:r>
        <w:rPr>
          <w:rStyle w:val="13"/>
        </w:rPr>
        <w:t xml:space="preserve">Zambia </w:t>
      </w:r>
      <w:r>
        <w:t>soybeans prices slightly increased to US$546/Mt ahead of the harvest in April 2026, which is expected to improve over previous years.</w:t>
      </w:r>
    </w:p>
    <w:p w14:paraId="799DCB48">
      <w:pPr>
        <w:pStyle w:val="3"/>
      </w:pPr>
      <w:r>
        <w:rPr>
          <w:rStyle w:val="14"/>
        </w:rPr>
        <w:t>[1] Interview with AMO market participant in Malawi, 16 March 2026.</w:t>
      </w:r>
    </w:p>
    <w:p w14:paraId="358C762E">
      <w:pPr>
        <w:pStyle w:val="2"/>
      </w:pPr>
      <w:r>
        <w:t xml:space="preserve">Egg consumer prices </w:t>
      </w:r>
    </w:p>
    <w:p w14:paraId="689E8146">
      <w:pPr>
        <w:pStyle w:val="3"/>
      </w:pPr>
      <w:r>
        <w:t>Figure 5: Egg consumer prices (US$/tray of 30 eggs), selected ESA countries</w:t>
      </w:r>
    </w:p>
    <w:p w14:paraId="23D24DF9">
      <w:pPr>
        <w:jc w:val="center"/>
      </w:pPr>
      <w:r>
        <w:drawing>
          <wp:inline distT="0" distB="0" distL="0" distR="0">
            <wp:extent cx="4298315" cy="3227705"/>
            <wp:effectExtent l="0" t="0" r="0" b="0"/>
            <wp:docPr id="1821768602" name="Picture8" descr="PT 53_Feb 26_Sway_Eggs_Fi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68602" name="Picture8" descr="PT 53_Feb 26_Sway_Eggs_Fig5.png"/>
                    <pic:cNvPicPr>
                      <a:picLocks noChangeAspect="1"/>
                    </pic:cNvPicPr>
                  </pic:nvPicPr>
                  <pic:blipFill>
                    <a:blip r:embed="rId10" cstate="print"/>
                    <a:stretch>
                      <a:fillRect/>
                    </a:stretch>
                  </pic:blipFill>
                  <pic:spPr>
                    <a:xfrm>
                      <a:off x="0" y="0"/>
                      <a:ext cx="4298632" cy="3228107"/>
                    </a:xfrm>
                    <a:prstGeom prst="rect">
                      <a:avLst/>
                    </a:prstGeom>
                  </pic:spPr>
                </pic:pic>
              </a:graphicData>
            </a:graphic>
          </wp:inline>
        </w:drawing>
      </w:r>
    </w:p>
    <w:p w14:paraId="56060061">
      <w:pPr>
        <w:pStyle w:val="19"/>
      </w:pPr>
      <w:r>
        <w:fldChar w:fldCharType="begin"/>
      </w:r>
      <w:r>
        <w:instrText xml:space="preserve"> SEQ Figure \*ARABIC </w:instrText>
      </w:r>
      <w:r>
        <w:fldChar w:fldCharType="separate"/>
      </w:r>
      <w:r>
        <w:t>5</w:t>
      </w:r>
      <w:r>
        <w:fldChar w:fldCharType="end"/>
      </w:r>
      <w:r>
        <w:t xml:space="preserve"> - </w:t>
      </w:r>
      <w:r>
        <w:rPr>
          <w:rStyle w:val="14"/>
          <w:i w:val="0"/>
        </w:rPr>
        <w:t xml:space="preserve">Source: AMO, from major supermarkets for large size eggs where available, Zambia Competition and Consumer Protection Commission. </w:t>
      </w:r>
    </w:p>
    <w:p w14:paraId="3F49688C">
      <w:pPr>
        <w:pStyle w:val="3"/>
        <w:numPr>
          <w:ilvl w:val="0"/>
          <w:numId w:val="6"/>
        </w:numPr>
      </w:pPr>
      <w:r>
        <w:t xml:space="preserve">South African eggs were the most expensive in the region, with a retail price of around US$5 per tray of 30 eggs, while Kenyan egg prices were the lowest and remained stable. </w:t>
      </w:r>
    </w:p>
    <w:p w14:paraId="7E3C9E7E">
      <w:pPr>
        <w:pStyle w:val="3"/>
        <w:numPr>
          <w:ilvl w:val="0"/>
          <w:numId w:val="6"/>
        </w:numPr>
      </w:pPr>
      <w:r>
        <w:t>Some price differences may be driven by a combination of factors, including egg size, brand, and variations in retail and distribution costs across countries.</w:t>
      </w:r>
    </w:p>
    <w:p w14:paraId="4C4FE00D">
      <w:pPr>
        <w:rPr>
          <w:rFonts w:ascii="Calibri Light"/>
          <w:color w:val="156082" w:themeColor="accent1"/>
          <w:sz w:val="32"/>
        </w:rPr>
      </w:pPr>
      <w:r>
        <w:br w:type="page"/>
      </w:r>
    </w:p>
    <w:p w14:paraId="76994D98">
      <w:pPr>
        <w:pStyle w:val="2"/>
      </w:pPr>
      <w:r>
        <w:t xml:space="preserve">Rice Developments </w:t>
      </w:r>
    </w:p>
    <w:p w14:paraId="7242A9CA">
      <w:pPr>
        <w:pStyle w:val="3"/>
      </w:pPr>
      <w:r>
        <w:t>Figure 6: Rice prices, selected ESA countries</w:t>
      </w:r>
    </w:p>
    <w:p w14:paraId="0278A80B">
      <w:pPr>
        <w:jc w:val="center"/>
      </w:pPr>
      <w:r>
        <w:drawing>
          <wp:inline distT="0" distB="0" distL="0" distR="0">
            <wp:extent cx="4298315" cy="3227705"/>
            <wp:effectExtent l="0" t="0" r="0" b="0"/>
            <wp:docPr id="947577552" name="Picture9" descr="PT 53_Feb 26_Sway_Rice_Fi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77552" name="Picture9" descr="PT 53_Feb 26_Sway_Rice_Fig6.png"/>
                    <pic:cNvPicPr>
                      <a:picLocks noChangeAspect="1"/>
                    </pic:cNvPicPr>
                  </pic:nvPicPr>
                  <pic:blipFill>
                    <a:blip r:embed="rId11" cstate="print"/>
                    <a:stretch>
                      <a:fillRect/>
                    </a:stretch>
                  </pic:blipFill>
                  <pic:spPr>
                    <a:xfrm>
                      <a:off x="0" y="0"/>
                      <a:ext cx="4298632" cy="3228107"/>
                    </a:xfrm>
                    <a:prstGeom prst="rect">
                      <a:avLst/>
                    </a:prstGeom>
                  </pic:spPr>
                </pic:pic>
              </a:graphicData>
            </a:graphic>
          </wp:inline>
        </w:drawing>
      </w:r>
    </w:p>
    <w:p w14:paraId="69D352A2">
      <w:pPr>
        <w:pStyle w:val="19"/>
      </w:pPr>
      <w:r>
        <w:fldChar w:fldCharType="begin"/>
      </w:r>
      <w:r>
        <w:instrText xml:space="preserve"> SEQ Figure \*ARABIC </w:instrText>
      </w:r>
      <w:r>
        <w:fldChar w:fldCharType="separate"/>
      </w:r>
      <w:r>
        <w:t>6</w:t>
      </w:r>
      <w:r>
        <w:fldChar w:fldCharType="end"/>
      </w:r>
      <w:r>
        <w:t xml:space="preserve"> - </w:t>
      </w:r>
      <w:r>
        <w:rPr>
          <w:rStyle w:val="14"/>
          <w:i w:val="0"/>
        </w:rPr>
        <w:t>Source: AMO based on price tracker data from multiple sources, Thailand price is from the World Bank. </w:t>
      </w:r>
    </w:p>
    <w:p w14:paraId="6B160A3C">
      <w:pPr>
        <w:pStyle w:val="3"/>
        <w:numPr>
          <w:ilvl w:val="0"/>
          <w:numId w:val="7"/>
        </w:numPr>
      </w:pPr>
      <w:r>
        <w:t xml:space="preserve">Rice prices in East Africa remain extremely high </w:t>
      </w:r>
    </w:p>
    <w:p w14:paraId="47939A87">
      <w:pPr>
        <w:pStyle w:val="3"/>
        <w:numPr>
          <w:ilvl w:val="0"/>
          <w:numId w:val="7"/>
        </w:numPr>
      </w:pPr>
      <w:r>
        <w:t xml:space="preserve">Uganda and Tanzania are trading at similar levels, both just under US$1,200/Mt, while Kenya trades even higher </w:t>
      </w:r>
    </w:p>
    <w:p w14:paraId="049C1B1E">
      <w:pPr>
        <w:pStyle w:val="2"/>
      </w:pPr>
      <w:r>
        <w:t>Fertilizer developments</w:t>
      </w:r>
    </w:p>
    <w:p w14:paraId="73C8FADA">
      <w:pPr>
        <w:pStyle w:val="3"/>
      </w:pPr>
      <w:r>
        <w:t>Figure 7: Urea Fertilizer prices, selected ESA countries</w:t>
      </w:r>
    </w:p>
    <w:p w14:paraId="004C7CCD">
      <w:pPr>
        <w:jc w:val="center"/>
      </w:pPr>
      <w:r>
        <w:drawing>
          <wp:inline distT="0" distB="0" distL="0" distR="0">
            <wp:extent cx="4298315" cy="3232785"/>
            <wp:effectExtent l="0" t="0" r="0" b="0"/>
            <wp:docPr id="1422936964" name="Picture10" descr="PT 53_Feb 26_Sway_Fertilizer_Fi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36964" name="Picture10" descr="PT 53_Feb 26_Sway_Fertilizer_Fig7.png"/>
                    <pic:cNvPicPr>
                      <a:picLocks noChangeAspect="1"/>
                    </pic:cNvPicPr>
                  </pic:nvPicPr>
                  <pic:blipFill>
                    <a:blip r:embed="rId12" cstate="print"/>
                    <a:stretch>
                      <a:fillRect/>
                    </a:stretch>
                  </pic:blipFill>
                  <pic:spPr>
                    <a:xfrm>
                      <a:off x="0" y="0"/>
                      <a:ext cx="4298632" cy="3233229"/>
                    </a:xfrm>
                    <a:prstGeom prst="rect">
                      <a:avLst/>
                    </a:prstGeom>
                  </pic:spPr>
                </pic:pic>
              </a:graphicData>
            </a:graphic>
          </wp:inline>
        </w:drawing>
      </w:r>
    </w:p>
    <w:p w14:paraId="115C84D7">
      <w:pPr>
        <w:pStyle w:val="19"/>
      </w:pPr>
      <w:r>
        <w:fldChar w:fldCharType="begin"/>
      </w:r>
      <w:r>
        <w:instrText xml:space="preserve"> SEQ Figure \*ARABIC </w:instrText>
      </w:r>
      <w:r>
        <w:fldChar w:fldCharType="separate"/>
      </w:r>
      <w:r>
        <w:t>7</w:t>
      </w:r>
      <w:r>
        <w:fldChar w:fldCharType="end"/>
      </w:r>
      <w:r>
        <w:t xml:space="preserve"> - </w:t>
      </w:r>
      <w:r>
        <w:rPr>
          <w:rStyle w:val="14"/>
          <w:i w:val="0"/>
        </w:rPr>
        <w:t>Source: AMO own calculations based on multiple sources; World Bank (world price) and Grain SA (South Africa). Kenya based on retail prices from Africafert and KAMIS. Tanzania regulator (last price adjustment in September 2025- other changes are forex related). Malawi* prices received in local currency and converted using the parallel exchange rate from November 2024, as discussed </w:t>
      </w:r>
      <w:r>
        <w:fldChar w:fldCharType="begin"/>
      </w:r>
      <w:r>
        <w:instrText xml:space="preserve"> HYPERLINK "https://tiny.cc/AMO_PriceTracker_Fe-Mar25" \h </w:instrText>
      </w:r>
      <w:r>
        <w:fldChar w:fldCharType="separate"/>
      </w:r>
      <w:r>
        <w:rPr>
          <w:rStyle w:val="17"/>
          <w:i w:val="0"/>
        </w:rPr>
        <w:t>here.</w:t>
      </w:r>
      <w:r>
        <w:rPr>
          <w:rStyle w:val="17"/>
          <w:i w:val="0"/>
        </w:rPr>
        <w:fldChar w:fldCharType="end"/>
      </w:r>
    </w:p>
    <w:p w14:paraId="2560E0B5">
      <w:pPr>
        <w:pStyle w:val="3"/>
        <w:numPr>
          <w:ilvl w:val="0"/>
          <w:numId w:val="8"/>
        </w:numPr>
      </w:pPr>
      <w:r>
        <w:t xml:space="preserve">Fertilizer prices in the region are consistently above the global benchmark and prices in Zimbabwe remain almost the most expensive once they had surpassed Uganda at the end of last year. </w:t>
      </w:r>
    </w:p>
    <w:p w14:paraId="1099553B">
      <w:pPr>
        <w:pStyle w:val="3"/>
        <w:numPr>
          <w:ilvl w:val="0"/>
          <w:numId w:val="8"/>
        </w:numPr>
      </w:pPr>
      <w:r>
        <w:t>Tanzania’s regulated retail prices before subsidies at US$668/Mt are slightly less than South African prices at US$701/Mt. Insights from market participants indicate that backlogs in subsidy payments to importers have resulted in decreased volumes by some importers although overall fertilizer utilization in Tanzania is on the increase.   </w:t>
      </w:r>
    </w:p>
    <w:p w14:paraId="65677D71">
      <w:pPr>
        <w:pStyle w:val="2"/>
      </w:pPr>
      <w:r>
        <w:t>Annexure Malawi prices - official vs parallel exchange rate</w:t>
      </w:r>
    </w:p>
    <w:p w14:paraId="4E443D0E">
      <w:pPr>
        <w:pStyle w:val="3"/>
      </w:pPr>
      <w:r>
        <w:rPr>
          <w:rStyle w:val="14"/>
        </w:rPr>
        <w:t xml:space="preserve">Given the divergence of the official and parallel exchange rates in Malawi we use the parallel exchange rate from November 2024 for the conversion of local prices into US$. See discussion </w:t>
      </w:r>
      <w:r>
        <w:fldChar w:fldCharType="begin"/>
      </w:r>
      <w:r>
        <w:instrText xml:space="preserve"> HYPERLINK "https://sway.cloud.microsoft/4eJoG4scjdFsv43H?ref=Link" \h </w:instrText>
      </w:r>
      <w:r>
        <w:fldChar w:fldCharType="separate"/>
      </w:r>
      <w:r>
        <w:rPr>
          <w:rStyle w:val="17"/>
        </w:rPr>
        <w:t>here</w:t>
      </w:r>
      <w:r>
        <w:rPr>
          <w:rStyle w:val="17"/>
        </w:rPr>
        <w:fldChar w:fldCharType="end"/>
      </w:r>
      <w:r>
        <w:rPr>
          <w:rStyle w:val="14"/>
        </w:rPr>
        <w:t xml:space="preserve">. </w:t>
      </w:r>
    </w:p>
    <w:p w14:paraId="2AE7163B">
      <w:pPr>
        <w:jc w:val="center"/>
      </w:pPr>
      <w:r>
        <w:drawing>
          <wp:anchor distT="0" distB="0" distL="114300" distR="114300" simplePos="0" relativeHeight="251659264" behindDoc="0" locked="0" layoutInCell="1" allowOverlap="1">
            <wp:simplePos x="0" y="0"/>
            <wp:positionH relativeFrom="margin">
              <wp:posOffset>0</wp:posOffset>
            </wp:positionH>
            <wp:positionV relativeFrom="margin">
              <wp:posOffset>4017010</wp:posOffset>
            </wp:positionV>
            <wp:extent cx="2865755" cy="2101215"/>
            <wp:effectExtent l="0" t="0" r="0" b="0"/>
            <wp:wrapSquare wrapText="bothSides"/>
            <wp:docPr id="476351222" name="Picture11" descr="PT 53_Feb26_Sway_MW_Maize_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51222" name="Picture11" descr="PT 53_Feb26_Sway_MW_Maize_Fig1.p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5755" cy="2101386"/>
                    </a:xfrm>
                    <a:prstGeom prst="rect">
                      <a:avLst/>
                    </a:prstGeom>
                  </pic:spPr>
                </pic:pic>
              </a:graphicData>
            </a:graphic>
          </wp:anchor>
        </w:drawing>
      </w:r>
    </w:p>
    <w:p w14:paraId="7E4CAE98">
      <w:pPr>
        <w:jc w:val="center"/>
      </w:pPr>
      <w:r>
        <w:drawing>
          <wp:inline distT="0" distB="0" distL="0" distR="0">
            <wp:extent cx="2865755" cy="2101215"/>
            <wp:effectExtent l="0" t="0" r="0" b="0"/>
            <wp:docPr id="48582060" name="Picture12" descr="PT 53_Feb26_Sway_MW_Soy_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2060" name="Picture12" descr="PT 53_Feb26_Sway_MW_Soy_Fig2.png"/>
                    <pic:cNvPicPr>
                      <a:picLocks noChangeAspect="1"/>
                    </pic:cNvPicPr>
                  </pic:nvPicPr>
                  <pic:blipFill>
                    <a:blip r:embed="rId14" cstate="print"/>
                    <a:stretch>
                      <a:fillRect/>
                    </a:stretch>
                  </pic:blipFill>
                  <pic:spPr>
                    <a:xfrm>
                      <a:off x="0" y="0"/>
                      <a:ext cx="2865755" cy="2101386"/>
                    </a:xfrm>
                    <a:prstGeom prst="rect">
                      <a:avLst/>
                    </a:prstGeom>
                  </pic:spPr>
                </pic:pic>
              </a:graphicData>
            </a:graphic>
          </wp:inline>
        </w:drawing>
      </w:r>
    </w:p>
    <w:p w14:paraId="5ED30344">
      <w:pPr>
        <w:jc w:val="center"/>
      </w:pPr>
      <w:r>
        <w:drawing>
          <wp:anchor distT="0" distB="0" distL="114300" distR="114300" simplePos="0" relativeHeight="251660288" behindDoc="0" locked="0" layoutInCell="1" allowOverlap="1">
            <wp:simplePos x="0" y="0"/>
            <wp:positionH relativeFrom="margin">
              <wp:posOffset>0</wp:posOffset>
            </wp:positionH>
            <wp:positionV relativeFrom="margin">
              <wp:posOffset>6588125</wp:posOffset>
            </wp:positionV>
            <wp:extent cx="2865755" cy="2101215"/>
            <wp:effectExtent l="0" t="0" r="0" b="0"/>
            <wp:wrapSquare wrapText="bothSides"/>
            <wp:docPr id="267717892" name="Picture13" descr="PT 53_Feb26_Sway_MW_Rice_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17892" name="Picture13" descr="PT 53_Feb26_Sway_MW_Rice_Fig3.p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5755" cy="2101215"/>
                    </a:xfrm>
                    <a:prstGeom prst="rect">
                      <a:avLst/>
                    </a:prstGeom>
                  </pic:spPr>
                </pic:pic>
              </a:graphicData>
            </a:graphic>
          </wp:anchor>
        </w:drawing>
      </w:r>
    </w:p>
    <w:p w14:paraId="60311FE4">
      <w:pPr>
        <w:jc w:val="center"/>
      </w:pPr>
      <w:r>
        <w:drawing>
          <wp:inline distT="0" distB="0" distL="0" distR="0">
            <wp:extent cx="2865755" cy="2101215"/>
            <wp:effectExtent l="0" t="0" r="0" b="0"/>
            <wp:docPr id="343144498" name="Picture14" descr="PT 53_Feb26_Sway_MW_Fertilizer_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144498" name="Picture14" descr="PT 53_Feb26_Sway_MW_Fertilizer_Fig4.png"/>
                    <pic:cNvPicPr>
                      <a:picLocks noChangeAspect="1"/>
                    </pic:cNvPicPr>
                  </pic:nvPicPr>
                  <pic:blipFill>
                    <a:blip r:embed="rId16" cstate="print"/>
                    <a:stretch>
                      <a:fillRect/>
                    </a:stretch>
                  </pic:blipFill>
                  <pic:spPr>
                    <a:xfrm>
                      <a:off x="0" y="0"/>
                      <a:ext cx="2865755" cy="2101386"/>
                    </a:xfrm>
                    <a:prstGeom prst="rect">
                      <a:avLst/>
                    </a:prstGeom>
                  </pic:spPr>
                </pic:pic>
              </a:graphicData>
            </a:graphic>
          </wp:inline>
        </w:drawing>
      </w:r>
    </w:p>
    <w:p w14:paraId="57A16603">
      <w:pPr>
        <w:pStyle w:val="2"/>
      </w:pPr>
      <w:r>
        <w:t>African Market Observatory (AMO)</w:t>
      </w:r>
    </w:p>
    <w:p w14:paraId="65D3686A">
      <w:pPr>
        <w:jc w:val="center"/>
      </w:pPr>
    </w:p>
    <w:p w14:paraId="7A5996DA">
      <w:pPr>
        <w:pStyle w:val="4"/>
      </w:pPr>
      <w:r>
        <w:t>The AMO is an initiative by the Centre for Competition, Regulation and Economic Development (CCRED) at the University of Johannesburg</w:t>
      </w:r>
    </w:p>
    <w:p w14:paraId="59FD1C0F">
      <w:pPr>
        <w:jc w:val="center"/>
      </w:pPr>
      <w:r>
        <w:drawing>
          <wp:inline distT="0" distB="0" distL="0" distR="0">
            <wp:extent cx="1560830" cy="2175510"/>
            <wp:effectExtent l="0" t="0" r="0" b="0"/>
            <wp:docPr id="2042924165" name="Picture16" descr="UJ_CBE_CCRED_Identity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24165" name="Picture16" descr="UJ_CBE_CCRED_Identity_RGB.png"/>
                    <pic:cNvPicPr>
                      <a:picLocks noChangeAspect="1"/>
                    </pic:cNvPicPr>
                  </pic:nvPicPr>
                  <pic:blipFill>
                    <a:blip r:embed="rId17" cstate="print"/>
                    <a:stretch>
                      <a:fillRect/>
                    </a:stretch>
                  </pic:blipFill>
                  <pic:spPr>
                    <a:xfrm>
                      <a:off x="0" y="0"/>
                      <a:ext cx="1592019" cy="2218760"/>
                    </a:xfrm>
                    <a:prstGeom prst="rect">
                      <a:avLst/>
                    </a:prstGeom>
                  </pic:spPr>
                </pic:pic>
              </a:graphicData>
            </a:graphic>
          </wp:inline>
        </w:drawing>
      </w:r>
    </w:p>
    <w:p w14:paraId="5E2A56D2">
      <w:pPr>
        <w:pStyle w:val="3"/>
      </w:pPr>
      <w:r>
        <w:rPr>
          <w:rStyle w:val="13"/>
        </w:rPr>
        <w:t xml:space="preserve">Find us </w:t>
      </w:r>
    </w:p>
    <w:p w14:paraId="19519B4C">
      <w:pPr>
        <w:pStyle w:val="3"/>
      </w:pPr>
      <w:r>
        <w:t xml:space="preserve">👉🏾  </w:t>
      </w:r>
      <w:r>
        <w:fldChar w:fldCharType="begin"/>
      </w:r>
      <w:r>
        <w:instrText xml:space="preserve"> HYPERLINK "https://www.competition.org.za/africanmarketobservatory" \h </w:instrText>
      </w:r>
      <w:r>
        <w:fldChar w:fldCharType="separate"/>
      </w:r>
      <w:r>
        <w:rPr>
          <w:rStyle w:val="15"/>
        </w:rPr>
        <w:t>www.competition.org.za/africanmarketobservatory</w:t>
      </w:r>
      <w:r>
        <w:rPr>
          <w:rStyle w:val="15"/>
        </w:rPr>
        <w:fldChar w:fldCharType="end"/>
      </w:r>
    </w:p>
    <w:p w14:paraId="6ABF6063">
      <w:pPr>
        <w:pStyle w:val="3"/>
      </w:pPr>
      <w:r>
        <w:t xml:space="preserve">👉🏾  </w:t>
      </w:r>
      <w:r>
        <w:fldChar w:fldCharType="begin"/>
      </w:r>
      <w:r>
        <w:instrText xml:space="preserve"> HYPERLINK "mailto:info.amo@uj.ac.za" \h </w:instrText>
      </w:r>
      <w:r>
        <w:fldChar w:fldCharType="separate"/>
      </w:r>
      <w:r>
        <w:rPr>
          <w:rStyle w:val="15"/>
        </w:rPr>
        <w:t>info.amo@uj.ac.za</w:t>
      </w:r>
      <w:r>
        <w:rPr>
          <w:rStyle w:val="15"/>
        </w:rPr>
        <w:fldChar w:fldCharType="end"/>
      </w:r>
      <w:r>
        <w:t xml:space="preserve"> </w:t>
      </w:r>
    </w:p>
    <w:p w14:paraId="4AE1B57E">
      <w:pPr>
        <w:pStyle w:val="3"/>
      </w:pPr>
      <w:r>
        <w:t xml:space="preserve">👉🏾  </w:t>
      </w:r>
      <w:r>
        <w:fldChar w:fldCharType="begin"/>
      </w:r>
      <w:r>
        <w:instrText xml:space="preserve"> HYPERLINK "https://www.linkedin.com/company/centre-for-competition-regulation-and-economic-development/" \h </w:instrText>
      </w:r>
      <w:r>
        <w:fldChar w:fldCharType="separate"/>
      </w:r>
      <w:r>
        <w:rPr>
          <w:rStyle w:val="15"/>
        </w:rPr>
        <w:t>CCRED</w:t>
      </w:r>
      <w:r>
        <w:rPr>
          <w:rStyle w:val="15"/>
        </w:rPr>
        <w:fldChar w:fldCharType="end"/>
      </w:r>
    </w:p>
    <w:p w14:paraId="4FFC8275">
      <w:pPr>
        <w:pStyle w:val="3"/>
      </w:pPr>
      <w:r>
        <w:t xml:space="preserve">👉🏾  </w:t>
      </w:r>
      <w:r>
        <w:fldChar w:fldCharType="begin"/>
      </w:r>
      <w:r>
        <w:instrText xml:space="preserve"> HYPERLINK "https://x.com/CCRED_UJ?s=20" \h </w:instrText>
      </w:r>
      <w:r>
        <w:fldChar w:fldCharType="separate"/>
      </w:r>
      <w:r>
        <w:rPr>
          <w:rStyle w:val="15"/>
        </w:rPr>
        <w:t>@CCRED_UJ</w:t>
      </w:r>
      <w:r>
        <w:rPr>
          <w:rStyle w:val="15"/>
        </w:rPr>
        <w:fldChar w:fldCharType="end"/>
      </w:r>
    </w:p>
    <w:p w14:paraId="25259A9F">
      <w:pPr>
        <w:pStyle w:val="3"/>
      </w:pPr>
      <w:r>
        <w:t xml:space="preserve">📥  The Price Tracker in your inbox: </w:t>
      </w:r>
      <w:r>
        <w:fldChar w:fldCharType="begin"/>
      </w:r>
      <w:r>
        <w:instrText xml:space="preserve"> HYPERLINK "http://lnkiy.in/AMO-PriceTracker-Signup" \h </w:instrText>
      </w:r>
      <w:r>
        <w:fldChar w:fldCharType="separate"/>
      </w:r>
      <w:r>
        <w:rPr>
          <w:rStyle w:val="15"/>
        </w:rPr>
        <w:t>AMO-PT-SignUp</w:t>
      </w:r>
      <w:r>
        <w:rPr>
          <w:rStyle w:val="15"/>
        </w:rPr>
        <w:fldChar w:fldCharType="end"/>
      </w:r>
      <w:r>
        <w:t xml:space="preserve"> </w:t>
      </w:r>
    </w:p>
    <w:p w14:paraId="2EA9909E">
      <w:pPr>
        <w:pStyle w:val="3"/>
      </w:pPr>
    </w:p>
    <w:p w14:paraId="3A1DC27C">
      <w:pPr>
        <w:pStyle w:val="3"/>
      </w:pPr>
    </w:p>
    <w:p w14:paraId="22BAD4A8">
      <w:pPr>
        <w:pStyle w:val="3"/>
      </w:pPr>
    </w:p>
    <w:p w14:paraId="747D010D">
      <w:pPr>
        <w:pStyle w:val="3"/>
      </w:pPr>
      <w:r>
        <w:rPr>
          <w:rStyle w:val="14"/>
        </w:rPr>
        <w:t xml:space="preserve">The AMO is supported by </w:t>
      </w:r>
      <w:r>
        <w:fldChar w:fldCharType="begin"/>
      </w:r>
      <w:r>
        <w:instrText xml:space="preserve"> HYPERLINK "https://comesacompetition.org/" \h </w:instrText>
      </w:r>
      <w:r>
        <w:fldChar w:fldCharType="separate"/>
      </w:r>
      <w:r>
        <w:rPr>
          <w:rStyle w:val="15"/>
        </w:rPr>
        <w:t>COMESA Competition Commission</w:t>
      </w:r>
      <w:r>
        <w:rPr>
          <w:rStyle w:val="15"/>
        </w:rPr>
        <w:fldChar w:fldCharType="end"/>
      </w:r>
      <w:r>
        <w:rPr>
          <w:rStyle w:val="14"/>
        </w:rPr>
        <w:t xml:space="preserve">, the </w:t>
      </w:r>
      <w:r>
        <w:fldChar w:fldCharType="begin"/>
      </w:r>
      <w:r>
        <w:instrText xml:space="preserve"> HYPERLINK "https://www.shambacentre.org/" \h </w:instrText>
      </w:r>
      <w:r>
        <w:fldChar w:fldCharType="separate"/>
      </w:r>
      <w:r>
        <w:rPr>
          <w:rStyle w:val="17"/>
        </w:rPr>
        <w:t>Shamba Centre for Food &amp; Climate</w:t>
      </w:r>
      <w:r>
        <w:rPr>
          <w:rStyle w:val="17"/>
        </w:rPr>
        <w:fldChar w:fldCharType="end"/>
      </w:r>
      <w:r>
        <w:rPr>
          <w:rStyle w:val="14"/>
        </w:rPr>
        <w:t xml:space="preserve">, the </w:t>
      </w:r>
      <w:r>
        <w:fldChar w:fldCharType="begin"/>
      </w:r>
      <w:r>
        <w:instrText xml:space="preserve"> HYPERLINK "https://intracen.org/" \h </w:instrText>
      </w:r>
      <w:r>
        <w:fldChar w:fldCharType="separate"/>
      </w:r>
      <w:r>
        <w:rPr>
          <w:rStyle w:val="17"/>
        </w:rPr>
        <w:t xml:space="preserve">International Trade Centre </w:t>
      </w:r>
      <w:r>
        <w:rPr>
          <w:rStyle w:val="17"/>
        </w:rPr>
        <w:fldChar w:fldCharType="end"/>
      </w:r>
      <w:r>
        <w:rPr>
          <w:rStyle w:val="14"/>
        </w:rPr>
        <w:t xml:space="preserve">and the </w:t>
      </w:r>
      <w:r>
        <w:fldChar w:fldCharType="begin"/>
      </w:r>
      <w:r>
        <w:instrText xml:space="preserve"> HYPERLINK "https://africanclimatefoundation.org/" \h </w:instrText>
      </w:r>
      <w:r>
        <w:fldChar w:fldCharType="separate"/>
      </w:r>
      <w:r>
        <w:rPr>
          <w:rStyle w:val="17"/>
        </w:rPr>
        <w:t xml:space="preserve">African Climate Foundation </w:t>
      </w:r>
      <w:r>
        <w:rPr>
          <w:rStyle w:val="17"/>
        </w:rPr>
        <w:fldChar w:fldCharType="end"/>
      </w:r>
    </w:p>
    <w:p w14:paraId="7A9E4F9F">
      <w:pPr>
        <w:jc w:val="center"/>
      </w:pPr>
      <w:r>
        <w:drawing>
          <wp:inline distT="0" distB="0" distL="0" distR="0">
            <wp:extent cx="5879465" cy="1469390"/>
            <wp:effectExtent l="0" t="0" r="0" b="0"/>
            <wp:docPr id="1957687493" name="Picture17" descr="0_Sway_PT_Combined logos_1800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87493" name="Picture17" descr="0_Sway_PT_Combined logos_18001200.png"/>
                    <pic:cNvPicPr>
                      <a:picLocks noChangeAspect="1"/>
                    </pic:cNvPicPr>
                  </pic:nvPicPr>
                  <pic:blipFill>
                    <a:blip r:embed="rId18" cstate="print"/>
                    <a:stretch>
                      <a:fillRect/>
                    </a:stretch>
                  </pic:blipFill>
                  <pic:spPr>
                    <a:xfrm>
                      <a:off x="0" y="0"/>
                      <a:ext cx="5974894" cy="1493724"/>
                    </a:xfrm>
                    <a:prstGeom prst="rect">
                      <a:avLst/>
                    </a:prstGeom>
                  </pic:spPr>
                </pic:pic>
              </a:graphicData>
            </a:graphic>
          </wp:inline>
        </w:drawing>
      </w:r>
    </w:p>
    <w:sectPr>
      <w:pgSz w:w="11906" w:h="16838"/>
      <w:pgMar w:top="950" w:right="1440" w:bottom="1255"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Arial Nova">
    <w:altName w:val="Arial"/>
    <w:panose1 w:val="020B0504020202020204"/>
    <w:charset w:val="00"/>
    <w:family w:val="swiss"/>
    <w:pitch w:val="default"/>
    <w:sig w:usb0="00000000" w:usb1="00000000" w:usb2="00000000" w:usb3="00000000" w:csb0="0000019F"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0D0336"/>
    <w:multiLevelType w:val="multilevel"/>
    <w:tmpl w:val="050D0336"/>
    <w:lvl w:ilvl="0" w:tentative="0">
      <w:start w:val="1"/>
      <w:numFmt w:val="bullet"/>
      <w:lvlText w:val="•"/>
      <w:lvlJc w:val="left"/>
      <w:pPr>
        <w:ind w:left="720" w:hanging="360"/>
      </w:pPr>
      <w:rPr>
        <w:rFonts w:hint="default" w:ascii="Calibri" w:hAnsi="Calibri"/>
      </w:rPr>
    </w:lvl>
    <w:lvl w:ilvl="1" w:tentative="0">
      <w:start w:val="1"/>
      <w:numFmt w:val="bullet"/>
      <w:lvlText w:val="-"/>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Calibri" w:hAnsi="Calibri"/>
      </w:rPr>
    </w:lvl>
    <w:lvl w:ilvl="3" w:tentative="0">
      <w:start w:val="1"/>
      <w:numFmt w:val="bullet"/>
      <w:lvlText w:val="•"/>
      <w:lvlJc w:val="left"/>
      <w:pPr>
        <w:ind w:left="2880" w:hanging="360"/>
      </w:pPr>
      <w:rPr>
        <w:rFonts w:hint="default" w:ascii="Calibri" w:hAnsi="Calibri"/>
      </w:rPr>
    </w:lvl>
    <w:lvl w:ilvl="4" w:tentative="0">
      <w:start w:val="1"/>
      <w:numFmt w:val="bullet"/>
      <w:lvlText w:val="-"/>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Calibri" w:hAnsi="Calibri"/>
      </w:rPr>
    </w:lvl>
    <w:lvl w:ilvl="6" w:tentative="0">
      <w:start w:val="1"/>
      <w:numFmt w:val="bullet"/>
      <w:lvlText w:val="•"/>
      <w:lvlJc w:val="left"/>
      <w:pPr>
        <w:ind w:left="5040" w:hanging="360"/>
      </w:pPr>
      <w:rPr>
        <w:rFonts w:hint="default" w:ascii="Calibri" w:hAnsi="Calibri"/>
      </w:rPr>
    </w:lvl>
    <w:lvl w:ilvl="7" w:tentative="0">
      <w:start w:val="1"/>
      <w:numFmt w:val="bullet"/>
      <w:lvlText w:val="-"/>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Calibri" w:hAnsi="Calibri"/>
      </w:rPr>
    </w:lvl>
  </w:abstractNum>
  <w:abstractNum w:abstractNumId="1">
    <w:nsid w:val="098D21C3"/>
    <w:multiLevelType w:val="multilevel"/>
    <w:tmpl w:val="098D21C3"/>
    <w:lvl w:ilvl="0" w:tentative="0">
      <w:start w:val="1"/>
      <w:numFmt w:val="bullet"/>
      <w:lvlText w:val="•"/>
      <w:lvlJc w:val="left"/>
      <w:pPr>
        <w:ind w:left="720" w:hanging="360"/>
      </w:pPr>
      <w:rPr>
        <w:rFonts w:hint="default" w:ascii="Calibri" w:hAnsi="Calibri"/>
      </w:rPr>
    </w:lvl>
    <w:lvl w:ilvl="1" w:tentative="0">
      <w:start w:val="1"/>
      <w:numFmt w:val="bullet"/>
      <w:lvlText w:val="-"/>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Calibri" w:hAnsi="Calibri"/>
      </w:rPr>
    </w:lvl>
    <w:lvl w:ilvl="3" w:tentative="0">
      <w:start w:val="1"/>
      <w:numFmt w:val="bullet"/>
      <w:lvlText w:val="•"/>
      <w:lvlJc w:val="left"/>
      <w:pPr>
        <w:ind w:left="2880" w:hanging="360"/>
      </w:pPr>
      <w:rPr>
        <w:rFonts w:hint="default" w:ascii="Calibri" w:hAnsi="Calibri"/>
      </w:rPr>
    </w:lvl>
    <w:lvl w:ilvl="4" w:tentative="0">
      <w:start w:val="1"/>
      <w:numFmt w:val="bullet"/>
      <w:lvlText w:val="-"/>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Calibri" w:hAnsi="Calibri"/>
      </w:rPr>
    </w:lvl>
    <w:lvl w:ilvl="6" w:tentative="0">
      <w:start w:val="1"/>
      <w:numFmt w:val="bullet"/>
      <w:lvlText w:val="•"/>
      <w:lvlJc w:val="left"/>
      <w:pPr>
        <w:ind w:left="5040" w:hanging="360"/>
      </w:pPr>
      <w:rPr>
        <w:rFonts w:hint="default" w:ascii="Calibri" w:hAnsi="Calibri"/>
      </w:rPr>
    </w:lvl>
    <w:lvl w:ilvl="7" w:tentative="0">
      <w:start w:val="1"/>
      <w:numFmt w:val="bullet"/>
      <w:lvlText w:val="-"/>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Calibri" w:hAnsi="Calibri"/>
      </w:rPr>
    </w:lvl>
  </w:abstractNum>
  <w:abstractNum w:abstractNumId="2">
    <w:nsid w:val="179E313F"/>
    <w:multiLevelType w:val="multilevel"/>
    <w:tmpl w:val="179E313F"/>
    <w:lvl w:ilvl="0" w:tentative="0">
      <w:start w:val="1"/>
      <w:numFmt w:val="bullet"/>
      <w:lvlText w:val="•"/>
      <w:lvlJc w:val="left"/>
      <w:pPr>
        <w:ind w:left="720" w:hanging="360"/>
      </w:pPr>
      <w:rPr>
        <w:rFonts w:hint="default" w:ascii="Calibri" w:hAnsi="Calibri"/>
      </w:rPr>
    </w:lvl>
    <w:lvl w:ilvl="1" w:tentative="0">
      <w:start w:val="1"/>
      <w:numFmt w:val="bullet"/>
      <w:lvlText w:val="-"/>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Calibri" w:hAnsi="Calibri"/>
      </w:rPr>
    </w:lvl>
    <w:lvl w:ilvl="3" w:tentative="0">
      <w:start w:val="1"/>
      <w:numFmt w:val="bullet"/>
      <w:lvlText w:val="•"/>
      <w:lvlJc w:val="left"/>
      <w:pPr>
        <w:ind w:left="2880" w:hanging="360"/>
      </w:pPr>
      <w:rPr>
        <w:rFonts w:hint="default" w:ascii="Calibri" w:hAnsi="Calibri"/>
      </w:rPr>
    </w:lvl>
    <w:lvl w:ilvl="4" w:tentative="0">
      <w:start w:val="1"/>
      <w:numFmt w:val="bullet"/>
      <w:lvlText w:val="-"/>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Calibri" w:hAnsi="Calibri"/>
      </w:rPr>
    </w:lvl>
    <w:lvl w:ilvl="6" w:tentative="0">
      <w:start w:val="1"/>
      <w:numFmt w:val="bullet"/>
      <w:lvlText w:val="•"/>
      <w:lvlJc w:val="left"/>
      <w:pPr>
        <w:ind w:left="5040" w:hanging="360"/>
      </w:pPr>
      <w:rPr>
        <w:rFonts w:hint="default" w:ascii="Calibri" w:hAnsi="Calibri"/>
      </w:rPr>
    </w:lvl>
    <w:lvl w:ilvl="7" w:tentative="0">
      <w:start w:val="1"/>
      <w:numFmt w:val="bullet"/>
      <w:lvlText w:val="-"/>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Calibri" w:hAnsi="Calibri"/>
      </w:rPr>
    </w:lvl>
  </w:abstractNum>
  <w:abstractNum w:abstractNumId="3">
    <w:nsid w:val="241A3B9A"/>
    <w:multiLevelType w:val="multilevel"/>
    <w:tmpl w:val="241A3B9A"/>
    <w:lvl w:ilvl="0" w:tentative="0">
      <w:start w:val="1"/>
      <w:numFmt w:val="bullet"/>
      <w:lvlText w:val="•"/>
      <w:lvlJc w:val="left"/>
      <w:pPr>
        <w:ind w:left="720" w:hanging="360"/>
      </w:pPr>
      <w:rPr>
        <w:rFonts w:hint="default" w:ascii="Calibri" w:hAnsi="Calibri"/>
      </w:rPr>
    </w:lvl>
    <w:lvl w:ilvl="1" w:tentative="0">
      <w:start w:val="1"/>
      <w:numFmt w:val="bullet"/>
      <w:lvlText w:val="-"/>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Calibri" w:hAnsi="Calibri"/>
      </w:rPr>
    </w:lvl>
    <w:lvl w:ilvl="3" w:tentative="0">
      <w:start w:val="1"/>
      <w:numFmt w:val="bullet"/>
      <w:lvlText w:val="•"/>
      <w:lvlJc w:val="left"/>
      <w:pPr>
        <w:ind w:left="2880" w:hanging="360"/>
      </w:pPr>
      <w:rPr>
        <w:rFonts w:hint="default" w:ascii="Calibri" w:hAnsi="Calibri"/>
      </w:rPr>
    </w:lvl>
    <w:lvl w:ilvl="4" w:tentative="0">
      <w:start w:val="1"/>
      <w:numFmt w:val="bullet"/>
      <w:lvlText w:val="-"/>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Calibri" w:hAnsi="Calibri"/>
      </w:rPr>
    </w:lvl>
    <w:lvl w:ilvl="6" w:tentative="0">
      <w:start w:val="1"/>
      <w:numFmt w:val="bullet"/>
      <w:lvlText w:val="•"/>
      <w:lvlJc w:val="left"/>
      <w:pPr>
        <w:ind w:left="5040" w:hanging="360"/>
      </w:pPr>
      <w:rPr>
        <w:rFonts w:hint="default" w:ascii="Calibri" w:hAnsi="Calibri"/>
      </w:rPr>
    </w:lvl>
    <w:lvl w:ilvl="7" w:tentative="0">
      <w:start w:val="1"/>
      <w:numFmt w:val="bullet"/>
      <w:lvlText w:val="-"/>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Calibri" w:hAnsi="Calibri"/>
      </w:rPr>
    </w:lvl>
  </w:abstractNum>
  <w:abstractNum w:abstractNumId="4">
    <w:nsid w:val="3D1764BA"/>
    <w:multiLevelType w:val="multilevel"/>
    <w:tmpl w:val="3D1764BA"/>
    <w:lvl w:ilvl="0" w:tentative="0">
      <w:start w:val="1"/>
      <w:numFmt w:val="bullet"/>
      <w:lvlText w:val="•"/>
      <w:lvlJc w:val="left"/>
      <w:pPr>
        <w:ind w:left="720" w:hanging="360"/>
      </w:pPr>
      <w:rPr>
        <w:rFonts w:hint="default" w:ascii="Calibri" w:hAnsi="Calibri"/>
      </w:rPr>
    </w:lvl>
    <w:lvl w:ilvl="1" w:tentative="0">
      <w:start w:val="1"/>
      <w:numFmt w:val="bullet"/>
      <w:lvlText w:val="-"/>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Calibri" w:hAnsi="Calibri"/>
      </w:rPr>
    </w:lvl>
    <w:lvl w:ilvl="3" w:tentative="0">
      <w:start w:val="1"/>
      <w:numFmt w:val="bullet"/>
      <w:lvlText w:val="•"/>
      <w:lvlJc w:val="left"/>
      <w:pPr>
        <w:ind w:left="2880" w:hanging="360"/>
      </w:pPr>
      <w:rPr>
        <w:rFonts w:hint="default" w:ascii="Calibri" w:hAnsi="Calibri"/>
      </w:rPr>
    </w:lvl>
    <w:lvl w:ilvl="4" w:tentative="0">
      <w:start w:val="1"/>
      <w:numFmt w:val="bullet"/>
      <w:lvlText w:val="-"/>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Calibri" w:hAnsi="Calibri"/>
      </w:rPr>
    </w:lvl>
    <w:lvl w:ilvl="6" w:tentative="0">
      <w:start w:val="1"/>
      <w:numFmt w:val="bullet"/>
      <w:lvlText w:val="•"/>
      <w:lvlJc w:val="left"/>
      <w:pPr>
        <w:ind w:left="5040" w:hanging="360"/>
      </w:pPr>
      <w:rPr>
        <w:rFonts w:hint="default" w:ascii="Calibri" w:hAnsi="Calibri"/>
      </w:rPr>
    </w:lvl>
    <w:lvl w:ilvl="7" w:tentative="0">
      <w:start w:val="1"/>
      <w:numFmt w:val="bullet"/>
      <w:lvlText w:val="-"/>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Calibri" w:hAnsi="Calibri"/>
      </w:rPr>
    </w:lvl>
  </w:abstractNum>
  <w:abstractNum w:abstractNumId="5">
    <w:nsid w:val="53D00787"/>
    <w:multiLevelType w:val="multilevel"/>
    <w:tmpl w:val="53D00787"/>
    <w:lvl w:ilvl="0" w:tentative="0">
      <w:start w:val="1"/>
      <w:numFmt w:val="bullet"/>
      <w:lvlText w:val="•"/>
      <w:lvlJc w:val="left"/>
      <w:pPr>
        <w:ind w:left="720" w:hanging="360"/>
      </w:pPr>
      <w:rPr>
        <w:rFonts w:hint="default" w:ascii="Calibri" w:hAnsi="Calibri"/>
      </w:rPr>
    </w:lvl>
    <w:lvl w:ilvl="1" w:tentative="0">
      <w:start w:val="1"/>
      <w:numFmt w:val="bullet"/>
      <w:lvlText w:val="-"/>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Calibri" w:hAnsi="Calibri"/>
      </w:rPr>
    </w:lvl>
    <w:lvl w:ilvl="3" w:tentative="0">
      <w:start w:val="1"/>
      <w:numFmt w:val="bullet"/>
      <w:lvlText w:val="•"/>
      <w:lvlJc w:val="left"/>
      <w:pPr>
        <w:ind w:left="2880" w:hanging="360"/>
      </w:pPr>
      <w:rPr>
        <w:rFonts w:hint="default" w:ascii="Calibri" w:hAnsi="Calibri"/>
      </w:rPr>
    </w:lvl>
    <w:lvl w:ilvl="4" w:tentative="0">
      <w:start w:val="1"/>
      <w:numFmt w:val="bullet"/>
      <w:lvlText w:val="-"/>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Calibri" w:hAnsi="Calibri"/>
      </w:rPr>
    </w:lvl>
    <w:lvl w:ilvl="6" w:tentative="0">
      <w:start w:val="1"/>
      <w:numFmt w:val="bullet"/>
      <w:lvlText w:val="•"/>
      <w:lvlJc w:val="left"/>
      <w:pPr>
        <w:ind w:left="5040" w:hanging="360"/>
      </w:pPr>
      <w:rPr>
        <w:rFonts w:hint="default" w:ascii="Calibri" w:hAnsi="Calibri"/>
      </w:rPr>
    </w:lvl>
    <w:lvl w:ilvl="7" w:tentative="0">
      <w:start w:val="1"/>
      <w:numFmt w:val="bullet"/>
      <w:lvlText w:val="-"/>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Calibri" w:hAnsi="Calibri"/>
      </w:rPr>
    </w:lvl>
  </w:abstractNum>
  <w:abstractNum w:abstractNumId="6">
    <w:nsid w:val="5E570A04"/>
    <w:multiLevelType w:val="multilevel"/>
    <w:tmpl w:val="5E570A04"/>
    <w:lvl w:ilvl="0" w:tentative="0">
      <w:start w:val="1"/>
      <w:numFmt w:val="bullet"/>
      <w:lvlText w:val="•"/>
      <w:lvlJc w:val="left"/>
      <w:pPr>
        <w:ind w:left="720" w:hanging="360"/>
      </w:pPr>
      <w:rPr>
        <w:rFonts w:hint="default" w:ascii="Calibri" w:hAnsi="Calibri"/>
      </w:rPr>
    </w:lvl>
    <w:lvl w:ilvl="1" w:tentative="0">
      <w:start w:val="1"/>
      <w:numFmt w:val="bullet"/>
      <w:lvlText w:val="-"/>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Calibri" w:hAnsi="Calibri"/>
      </w:rPr>
    </w:lvl>
    <w:lvl w:ilvl="3" w:tentative="0">
      <w:start w:val="1"/>
      <w:numFmt w:val="bullet"/>
      <w:lvlText w:val="•"/>
      <w:lvlJc w:val="left"/>
      <w:pPr>
        <w:ind w:left="2880" w:hanging="360"/>
      </w:pPr>
      <w:rPr>
        <w:rFonts w:hint="default" w:ascii="Calibri" w:hAnsi="Calibri"/>
      </w:rPr>
    </w:lvl>
    <w:lvl w:ilvl="4" w:tentative="0">
      <w:start w:val="1"/>
      <w:numFmt w:val="bullet"/>
      <w:lvlText w:val="-"/>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Calibri" w:hAnsi="Calibri"/>
      </w:rPr>
    </w:lvl>
    <w:lvl w:ilvl="6" w:tentative="0">
      <w:start w:val="1"/>
      <w:numFmt w:val="bullet"/>
      <w:lvlText w:val="•"/>
      <w:lvlJc w:val="left"/>
      <w:pPr>
        <w:ind w:left="5040" w:hanging="360"/>
      </w:pPr>
      <w:rPr>
        <w:rFonts w:hint="default" w:ascii="Calibri" w:hAnsi="Calibri"/>
      </w:rPr>
    </w:lvl>
    <w:lvl w:ilvl="7" w:tentative="0">
      <w:start w:val="1"/>
      <w:numFmt w:val="bullet"/>
      <w:lvlText w:val="-"/>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Calibri" w:hAnsi="Calibri"/>
      </w:rPr>
    </w:lvl>
  </w:abstractNum>
  <w:abstractNum w:abstractNumId="7">
    <w:nsid w:val="72102954"/>
    <w:multiLevelType w:val="multilevel"/>
    <w:tmpl w:val="72102954"/>
    <w:lvl w:ilvl="0" w:tentative="0">
      <w:start w:val="1"/>
      <w:numFmt w:val="bullet"/>
      <w:lvlText w:val="•"/>
      <w:lvlJc w:val="left"/>
      <w:pPr>
        <w:ind w:left="720" w:hanging="360"/>
      </w:pPr>
      <w:rPr>
        <w:rFonts w:hint="default" w:ascii="Calibri" w:hAnsi="Calibri"/>
      </w:rPr>
    </w:lvl>
    <w:lvl w:ilvl="1" w:tentative="0">
      <w:start w:val="1"/>
      <w:numFmt w:val="bullet"/>
      <w:lvlText w:val="-"/>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Calibri" w:hAnsi="Calibri"/>
      </w:rPr>
    </w:lvl>
    <w:lvl w:ilvl="3" w:tentative="0">
      <w:start w:val="1"/>
      <w:numFmt w:val="bullet"/>
      <w:lvlText w:val="•"/>
      <w:lvlJc w:val="left"/>
      <w:pPr>
        <w:ind w:left="2880" w:hanging="360"/>
      </w:pPr>
      <w:rPr>
        <w:rFonts w:hint="default" w:ascii="Calibri" w:hAnsi="Calibri"/>
      </w:rPr>
    </w:lvl>
    <w:lvl w:ilvl="4" w:tentative="0">
      <w:start w:val="1"/>
      <w:numFmt w:val="bullet"/>
      <w:lvlText w:val="-"/>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Calibri" w:hAnsi="Calibri"/>
      </w:rPr>
    </w:lvl>
    <w:lvl w:ilvl="6" w:tentative="0">
      <w:start w:val="1"/>
      <w:numFmt w:val="bullet"/>
      <w:lvlText w:val="•"/>
      <w:lvlJc w:val="left"/>
      <w:pPr>
        <w:ind w:left="5040" w:hanging="360"/>
      </w:pPr>
      <w:rPr>
        <w:rFonts w:hint="default" w:ascii="Calibri" w:hAnsi="Calibri"/>
      </w:rPr>
    </w:lvl>
    <w:lvl w:ilvl="7" w:tentative="0">
      <w:start w:val="1"/>
      <w:numFmt w:val="bullet"/>
      <w:lvlText w:val="-"/>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Calibri" w:hAnsi="Calibri"/>
      </w:rPr>
    </w:lvl>
  </w:abstractNum>
  <w:num w:numId="1">
    <w:abstractNumId w:val="0"/>
  </w:num>
  <w:num w:numId="2">
    <w:abstractNumId w:val="3"/>
  </w:num>
  <w:num w:numId="3">
    <w:abstractNumId w:val="1"/>
  </w:num>
  <w:num w:numId="4">
    <w:abstractNumId w:val="4"/>
  </w:num>
  <w:num w:numId="5">
    <w:abstractNumId w:val="5"/>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D5D"/>
    <w:rsid w:val="00303D5D"/>
    <w:rsid w:val="00495956"/>
    <w:rsid w:val="0055467D"/>
    <w:rsid w:val="005A0D50"/>
    <w:rsid w:val="00870920"/>
    <w:rsid w:val="00AC1424"/>
    <w:rsid w:val="00B95551"/>
    <w:rsid w:val="00C92FD9"/>
    <w:rsid w:val="33BD1844"/>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EastAsia" w:cstheme="minorBidi"/>
      <w:kern w:val="2"/>
      <w:sz w:val="24"/>
      <w:szCs w:val="24"/>
      <w:lang w:val="zh-CN" w:eastAsia="en-GB" w:bidi="ar-SA"/>
      <w14:ligatures w14:val="standardContextual"/>
    </w:rPr>
  </w:style>
  <w:style w:type="paragraph" w:styleId="2">
    <w:name w:val="heading 1"/>
    <w:basedOn w:val="3"/>
    <w:next w:val="3"/>
    <w:qFormat/>
    <w:uiPriority w:val="9"/>
    <w:pPr>
      <w:keepNext/>
      <w:keepLines/>
      <w:spacing w:before="480" w:after="120"/>
      <w:outlineLvl w:val="0"/>
    </w:pPr>
    <w:rPr>
      <w:rFonts w:ascii="Calibri Light"/>
      <w:color w:val="156082" w:themeColor="accent1"/>
      <w:sz w:val="32"/>
    </w:rPr>
  </w:style>
  <w:style w:type="paragraph" w:styleId="4">
    <w:name w:val="heading 2"/>
    <w:basedOn w:val="3"/>
    <w:next w:val="3"/>
    <w:unhideWhenUsed/>
    <w:qFormat/>
    <w:uiPriority w:val="9"/>
    <w:pPr>
      <w:keepNext/>
      <w:keepLines/>
      <w:spacing w:before="40" w:after="0"/>
      <w:outlineLvl w:val="1"/>
    </w:pPr>
    <w:rPr>
      <w:rFonts w:ascii="Calibri Light"/>
      <w:color w:val="156082" w:themeColor="accent1"/>
      <w:sz w:val="26"/>
    </w:rPr>
  </w:style>
  <w:style w:type="character" w:default="1" w:styleId="5">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customStyle="1" w:styleId="3">
    <w:name w:val="_Style 5"/>
    <w:basedOn w:val="1"/>
    <w:unhideWhenUsed/>
    <w:qFormat/>
    <w:uiPriority w:val="0"/>
    <w:rPr>
      <w:rFonts w:ascii="Calibri"/>
    </w:rPr>
  </w:style>
  <w:style w:type="character" w:styleId="7">
    <w:name w:val="FollowedHyperlink"/>
    <w:basedOn w:val="5"/>
    <w:semiHidden/>
    <w:unhideWhenUsed/>
    <w:uiPriority w:val="99"/>
    <w:rPr>
      <w:color w:val="96607D" w:themeColor="followedHyperlink"/>
      <w:u w:val="single"/>
    </w:rPr>
  </w:style>
  <w:style w:type="paragraph" w:styleId="8">
    <w:name w:val="footer"/>
    <w:basedOn w:val="1"/>
    <w:link w:val="23"/>
    <w:unhideWhenUsed/>
    <w:uiPriority w:val="99"/>
    <w:pPr>
      <w:tabs>
        <w:tab w:val="center" w:pos="4513"/>
        <w:tab w:val="right" w:pos="9026"/>
      </w:tabs>
      <w:spacing w:after="0" w:line="240" w:lineRule="auto"/>
    </w:pPr>
  </w:style>
  <w:style w:type="paragraph" w:styleId="9">
    <w:name w:val="header"/>
    <w:basedOn w:val="1"/>
    <w:link w:val="22"/>
    <w:unhideWhenUsed/>
    <w:uiPriority w:val="99"/>
    <w:pPr>
      <w:tabs>
        <w:tab w:val="center" w:pos="4513"/>
        <w:tab w:val="right" w:pos="9026"/>
      </w:tabs>
      <w:spacing w:after="0" w:line="240" w:lineRule="auto"/>
    </w:pPr>
    <w:rPr>
      <w:rFonts w:eastAsiaTheme="minorHAnsi"/>
      <w:sz w:val="22"/>
      <w:szCs w:val="22"/>
      <w:lang w:val="en-US" w:eastAsia="en-US"/>
    </w:rPr>
  </w:style>
  <w:style w:type="character" w:styleId="10">
    <w:name w:val="Hyperlink"/>
    <w:basedOn w:val="5"/>
    <w:unhideWhenUsed/>
    <w:uiPriority w:val="99"/>
    <w:rPr>
      <w:color w:val="467886" w:themeColor="hyperlink"/>
      <w:u w:val="single"/>
    </w:rPr>
  </w:style>
  <w:style w:type="paragraph" w:styleId="11">
    <w:name w:val="Title"/>
    <w:basedOn w:val="3"/>
    <w:next w:val="3"/>
    <w:qFormat/>
    <w:uiPriority w:val="10"/>
    <w:pPr>
      <w:spacing w:line="240" w:lineRule="auto"/>
      <w:outlineLvl w:val="0"/>
    </w:pPr>
    <w:rPr>
      <w:rFonts w:ascii="Calibri Light"/>
      <w:sz w:val="56"/>
    </w:rPr>
  </w:style>
  <w:style w:type="character" w:customStyle="1" w:styleId="12">
    <w:name w:val="_Style 7"/>
    <w:unhideWhenUsed/>
    <w:qFormat/>
    <w:uiPriority w:val="0"/>
    <w:rPr>
      <w:rFonts w:ascii="Calibri"/>
      <w:b/>
      <w:i/>
    </w:rPr>
  </w:style>
  <w:style w:type="character" w:customStyle="1" w:styleId="13">
    <w:name w:val="_Style 8"/>
    <w:unhideWhenUsed/>
    <w:qFormat/>
    <w:uiPriority w:val="0"/>
    <w:rPr>
      <w:rFonts w:ascii="Calibri"/>
      <w:b/>
    </w:rPr>
  </w:style>
  <w:style w:type="character" w:customStyle="1" w:styleId="14">
    <w:name w:val="_Style 9"/>
    <w:unhideWhenUsed/>
    <w:qFormat/>
    <w:uiPriority w:val="0"/>
    <w:rPr>
      <w:rFonts w:ascii="Calibri"/>
      <w:i/>
    </w:rPr>
  </w:style>
  <w:style w:type="character" w:customStyle="1" w:styleId="15">
    <w:name w:val="_Style 10"/>
    <w:unhideWhenUsed/>
    <w:qFormat/>
    <w:uiPriority w:val="0"/>
    <w:rPr>
      <w:rFonts w:ascii="Calibri"/>
      <w:color w:val="467886" w:themeColor="hyperlink"/>
      <w:u w:val="single"/>
    </w:rPr>
  </w:style>
  <w:style w:type="character" w:customStyle="1" w:styleId="16">
    <w:name w:val="_Style 11"/>
    <w:unhideWhenUsed/>
    <w:qFormat/>
    <w:uiPriority w:val="0"/>
    <w:rPr>
      <w:rFonts w:ascii="Calibri"/>
      <w:b/>
      <w:color w:val="467886" w:themeColor="hyperlink"/>
      <w:u w:val="single"/>
    </w:rPr>
  </w:style>
  <w:style w:type="character" w:customStyle="1" w:styleId="17">
    <w:name w:val="_Style 12"/>
    <w:unhideWhenUsed/>
    <w:qFormat/>
    <w:uiPriority w:val="0"/>
    <w:rPr>
      <w:rFonts w:ascii="Calibri"/>
      <w:i/>
      <w:color w:val="467886" w:themeColor="hyperlink"/>
      <w:u w:val="single"/>
    </w:rPr>
  </w:style>
  <w:style w:type="character" w:customStyle="1" w:styleId="18">
    <w:name w:val="_Style 13"/>
    <w:unhideWhenUsed/>
    <w:qFormat/>
    <w:uiPriority w:val="0"/>
    <w:rPr>
      <w:rFonts w:ascii="Calibri"/>
      <w:b/>
      <w:i/>
      <w:color w:val="467886" w:themeColor="hyperlink"/>
      <w:u w:val="single"/>
    </w:rPr>
  </w:style>
  <w:style w:type="paragraph" w:customStyle="1" w:styleId="19">
    <w:name w:val="_Style 14"/>
    <w:basedOn w:val="3"/>
    <w:next w:val="3"/>
    <w:unhideWhenUsed/>
    <w:qFormat/>
    <w:uiPriority w:val="0"/>
    <w:pPr>
      <w:spacing w:after="200" w:line="240" w:lineRule="auto"/>
      <w:jc w:val="center"/>
    </w:pPr>
    <w:rPr>
      <w:i/>
      <w:color w:val="0E2841" w:themeColor="text2"/>
      <w:sz w:val="18"/>
    </w:rPr>
  </w:style>
  <w:style w:type="paragraph" w:customStyle="1" w:styleId="20">
    <w:name w:val="_Style 15"/>
    <w:basedOn w:val="3"/>
    <w:next w:val="3"/>
    <w:unhideWhenUsed/>
    <w:qFormat/>
    <w:uiPriority w:val="0"/>
    <w:pPr>
      <w:spacing w:after="0" w:line="240" w:lineRule="auto"/>
    </w:pPr>
    <w:rPr>
      <w:sz w:val="20"/>
    </w:rPr>
  </w:style>
  <w:style w:type="paragraph" w:customStyle="1" w:styleId="21">
    <w:name w:val="_Style 16"/>
    <w:basedOn w:val="3"/>
    <w:next w:val="3"/>
    <w:unhideWhenUsed/>
    <w:qFormat/>
    <w:uiPriority w:val="0"/>
    <w:pPr>
      <w:pBdr>
        <w:top w:val="single" w:color="156082" w:themeColor="accent1" w:sz="4" w:space="10"/>
        <w:bottom w:val="single" w:color="156082" w:themeColor="accent1" w:sz="4" w:space="10"/>
      </w:pBdr>
      <w:spacing w:before="360" w:after="360"/>
      <w:jc w:val="center"/>
    </w:pPr>
    <w:rPr>
      <w:i/>
      <w:color w:val="156082" w:themeColor="accent1"/>
    </w:rPr>
  </w:style>
  <w:style w:type="character" w:customStyle="1" w:styleId="22">
    <w:name w:val="Header Char"/>
    <w:basedOn w:val="5"/>
    <w:link w:val="9"/>
    <w:uiPriority w:val="99"/>
    <w:rPr>
      <w:rFonts w:eastAsiaTheme="minorHAnsi"/>
      <w:sz w:val="22"/>
      <w:szCs w:val="22"/>
      <w:lang w:val="en-US" w:eastAsia="en-US"/>
    </w:rPr>
  </w:style>
  <w:style w:type="character" w:customStyle="1" w:styleId="23">
    <w:name w:val="Footer Char"/>
    <w:basedOn w:val="5"/>
    <w:link w:val="8"/>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211</Words>
  <Characters>1136</Characters>
  <Lines>182</Lines>
  <Paragraphs>99</Paragraphs>
  <TotalTime>8</TotalTime>
  <ScaleCrop>false</ScaleCrop>
  <LinksUpToDate>false</LinksUpToDate>
  <CharactersWithSpaces>1345</CharactersWithSpaces>
  <Application>WPS Office_12.1.0.25242_F1E327BC-269C-435d-A152-05C5408002CA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2026-03-18T09:25:00Z</dcterms:created>
  <dc:creator>DAUDI</dc:creator>
  <cp:lastModifiedBy>Farmgain. Africa</cp:lastModifiedBy>
  <dcterms:modified xsi:type="dcterms:W3CDTF">2026-03-29T20:56:03Z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d03699a-af8b-4ab4-b573-ab42382494ec_Enabled">
    <vt:lpwstr>true</vt:lpwstr>
  </property>
  <property fmtid="{D5CDD505-2E9C-101B-9397-08002B2CF9AE}" pid="3" name="MSIP_Label_ad03699a-af8b-4ab4-b573-ab42382494ec_SetDate">
    <vt:lpwstr>2026-03-18T09:25:27Z</vt:lpwstr>
  </property>
  <property fmtid="{D5CDD505-2E9C-101B-9397-08002B2CF9AE}" pid="4" name="MSIP_Label_ad03699a-af8b-4ab4-b573-ab42382494ec_Method">
    <vt:lpwstr>Standard</vt:lpwstr>
  </property>
  <property fmtid="{D5CDD505-2E9C-101B-9397-08002B2CF9AE}" pid="5" name="MSIP_Label_ad03699a-af8b-4ab4-b573-ab42382494ec_Name">
    <vt:lpwstr>Sensitive</vt:lpwstr>
  </property>
  <property fmtid="{D5CDD505-2E9C-101B-9397-08002B2CF9AE}" pid="6" name="MSIP_Label_ad03699a-af8b-4ab4-b573-ab42382494ec_SiteId">
    <vt:lpwstr>fa785acd-36ef-41bc-8a94-89841327e045</vt:lpwstr>
  </property>
  <property fmtid="{D5CDD505-2E9C-101B-9397-08002B2CF9AE}" pid="7" name="MSIP_Label_ad03699a-af8b-4ab4-b573-ab42382494ec_ActionId">
    <vt:lpwstr>65915f04-bca4-486a-84bc-2babaf7fe36c</vt:lpwstr>
  </property>
  <property fmtid="{D5CDD505-2E9C-101B-9397-08002B2CF9AE}" pid="8" name="MSIP_Label_ad03699a-af8b-4ab4-b573-ab42382494ec_ContentBits">
    <vt:lpwstr>0</vt:lpwstr>
  </property>
  <property fmtid="{D5CDD505-2E9C-101B-9397-08002B2CF9AE}" pid="9" name="MSIP_Label_ad03699a-af8b-4ab4-b573-ab42382494ec_Tag">
    <vt:lpwstr>50, 1, 2, 1</vt:lpwstr>
  </property>
  <property fmtid="{D5CDD505-2E9C-101B-9397-08002B2CF9AE}" pid="10" name="KSOProductBuildVer">
    <vt:lpwstr>1033-12.1.0.25242</vt:lpwstr>
  </property>
  <property fmtid="{D5CDD505-2E9C-101B-9397-08002B2CF9AE}" pid="11" name="ICV">
    <vt:lpwstr>1C49115B13544E9A9C869C25DC58B6C3_13</vt:lpwstr>
  </property>
</Properties>
</file>